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C8352" w14:textId="77777777" w:rsidR="00DA54D2" w:rsidRDefault="00DA54D2" w:rsidP="00ED16EC">
      <w:pPr>
        <w:rPr>
          <w:rFonts w:cs="Arial"/>
          <w:szCs w:val="22"/>
        </w:rPr>
      </w:pPr>
    </w:p>
    <w:p w14:paraId="0B06CEF0" w14:textId="77777777" w:rsidR="00DA54D2" w:rsidRDefault="00DA54D2" w:rsidP="00ED16EC">
      <w:pPr>
        <w:rPr>
          <w:rFonts w:cs="Arial"/>
          <w:szCs w:val="22"/>
        </w:rPr>
      </w:pPr>
    </w:p>
    <w:p w14:paraId="1F3D8144"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02E02C0D" wp14:editId="6D069682">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1594CA66" w14:textId="77777777" w:rsidR="00DA54D2" w:rsidRDefault="00DA54D2" w:rsidP="00ED16EC">
      <w:pPr>
        <w:rPr>
          <w:rFonts w:cs="Arial"/>
          <w:szCs w:val="22"/>
        </w:rPr>
      </w:pPr>
    </w:p>
    <w:p w14:paraId="0825637B" w14:textId="77777777" w:rsidR="00DA54D2" w:rsidRDefault="00DA54D2" w:rsidP="00ED16EC">
      <w:pPr>
        <w:rPr>
          <w:rFonts w:cs="Arial"/>
          <w:szCs w:val="22"/>
        </w:rPr>
      </w:pPr>
    </w:p>
    <w:p w14:paraId="1D66108C" w14:textId="77777777" w:rsidR="00DA54D2" w:rsidRDefault="00DA54D2" w:rsidP="00ED16EC">
      <w:pPr>
        <w:rPr>
          <w:rFonts w:cs="Arial"/>
          <w:szCs w:val="22"/>
        </w:rPr>
      </w:pPr>
    </w:p>
    <w:p w14:paraId="6F957A70" w14:textId="77777777" w:rsidR="00DA54D2" w:rsidRDefault="00DA54D2" w:rsidP="00ED16EC">
      <w:pPr>
        <w:rPr>
          <w:rFonts w:cs="Arial"/>
          <w:szCs w:val="22"/>
        </w:rPr>
      </w:pPr>
    </w:p>
    <w:p w14:paraId="548701A3" w14:textId="77777777" w:rsidR="00DA54D2" w:rsidRDefault="00DA54D2" w:rsidP="00ED16EC">
      <w:pPr>
        <w:rPr>
          <w:rFonts w:cs="Arial"/>
          <w:szCs w:val="22"/>
        </w:rPr>
      </w:pPr>
    </w:p>
    <w:p w14:paraId="5A56BA3B" w14:textId="77777777" w:rsidR="00DA54D2" w:rsidRDefault="00DA54D2" w:rsidP="00ED16EC">
      <w:pPr>
        <w:rPr>
          <w:rFonts w:cs="Arial"/>
          <w:szCs w:val="22"/>
        </w:rPr>
      </w:pPr>
    </w:p>
    <w:p w14:paraId="4C33587A" w14:textId="77777777" w:rsidR="00DA54D2" w:rsidRDefault="00DA54D2" w:rsidP="00ED16EC">
      <w:pPr>
        <w:rPr>
          <w:rFonts w:cs="Arial"/>
          <w:szCs w:val="22"/>
        </w:rPr>
      </w:pPr>
    </w:p>
    <w:p w14:paraId="68D62180" w14:textId="77777777" w:rsidR="00DA54D2" w:rsidRDefault="00DA54D2" w:rsidP="00ED16EC">
      <w:pPr>
        <w:rPr>
          <w:rFonts w:cs="Arial"/>
          <w:szCs w:val="22"/>
        </w:rPr>
      </w:pPr>
    </w:p>
    <w:p w14:paraId="79D01BE4" w14:textId="77777777" w:rsidR="00DA54D2" w:rsidRDefault="00DA54D2" w:rsidP="00ED16EC">
      <w:pPr>
        <w:rPr>
          <w:rFonts w:cs="Arial"/>
          <w:szCs w:val="22"/>
        </w:rPr>
      </w:pPr>
    </w:p>
    <w:p w14:paraId="3FCAE55A" w14:textId="77777777" w:rsidR="00DA54D2" w:rsidRDefault="00DA54D2" w:rsidP="00ED16EC">
      <w:pPr>
        <w:rPr>
          <w:rFonts w:cs="Arial"/>
          <w:szCs w:val="22"/>
        </w:rPr>
      </w:pPr>
    </w:p>
    <w:p w14:paraId="65CD7A58" w14:textId="77777777" w:rsidR="00ED16EC" w:rsidRDefault="00ED16EC" w:rsidP="00ED16EC">
      <w:pPr>
        <w:rPr>
          <w:rFonts w:cs="Arial"/>
          <w:b/>
          <w:sz w:val="58"/>
          <w:szCs w:val="22"/>
        </w:rPr>
      </w:pPr>
    </w:p>
    <w:p w14:paraId="16DB7B35"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7D124FAE" w14:textId="77777777" w:rsidR="00ED16EC" w:rsidRPr="00D507A2" w:rsidRDefault="00875555" w:rsidP="00036244">
      <w:pPr>
        <w:jc w:val="center"/>
        <w:rPr>
          <w:rFonts w:cs="Arial"/>
          <w:b/>
          <w:iCs/>
          <w:sz w:val="52"/>
          <w:szCs w:val="52"/>
        </w:rPr>
      </w:pPr>
      <w:r w:rsidRPr="00D507A2">
        <w:rPr>
          <w:rFonts w:cs="Arial"/>
          <w:b/>
          <w:iCs/>
          <w:sz w:val="52"/>
          <w:szCs w:val="52"/>
        </w:rPr>
        <w:t xml:space="preserve">Education and Development </w:t>
      </w:r>
    </w:p>
    <w:p w14:paraId="4287C597" w14:textId="77777777" w:rsidR="00875555" w:rsidRPr="00D507A2" w:rsidRDefault="00875555" w:rsidP="00036244">
      <w:pPr>
        <w:jc w:val="center"/>
        <w:rPr>
          <w:rFonts w:cs="Arial"/>
          <w:b/>
          <w:iCs/>
          <w:sz w:val="52"/>
          <w:szCs w:val="52"/>
        </w:rPr>
      </w:pPr>
      <w:r w:rsidRPr="00D507A2">
        <w:rPr>
          <w:rFonts w:cs="Arial"/>
          <w:b/>
          <w:iCs/>
          <w:sz w:val="52"/>
          <w:szCs w:val="52"/>
        </w:rPr>
        <w:t>Financial Procedures</w:t>
      </w:r>
    </w:p>
    <w:p w14:paraId="6DB4039A" w14:textId="77777777" w:rsidR="00ED16EC" w:rsidRDefault="00ED16EC" w:rsidP="00ED16EC">
      <w:pPr>
        <w:jc w:val="center"/>
        <w:rPr>
          <w:rFonts w:cs="Arial"/>
          <w:sz w:val="44"/>
          <w:szCs w:val="22"/>
        </w:rPr>
      </w:pPr>
    </w:p>
    <w:p w14:paraId="2DFB0B4E" w14:textId="77777777" w:rsidR="00ED16EC" w:rsidRDefault="00ED16EC" w:rsidP="00ED16EC">
      <w:pPr>
        <w:jc w:val="center"/>
        <w:rPr>
          <w:rFonts w:cs="Arial"/>
          <w:sz w:val="44"/>
          <w:szCs w:val="22"/>
        </w:rPr>
      </w:pPr>
    </w:p>
    <w:p w14:paraId="12ED7998" w14:textId="77777777" w:rsidR="00BE1EF3" w:rsidRDefault="00BE1EF3" w:rsidP="00036244">
      <w:pPr>
        <w:jc w:val="center"/>
        <w:rPr>
          <w:rFonts w:cs="Arial"/>
          <w:sz w:val="44"/>
          <w:szCs w:val="22"/>
        </w:rPr>
      </w:pPr>
    </w:p>
    <w:p w14:paraId="3B5E6FEB" w14:textId="31259E5C" w:rsidR="00DA54D2" w:rsidRPr="00036244" w:rsidRDefault="00967414" w:rsidP="00ED16EC">
      <w:pPr>
        <w:jc w:val="center"/>
        <w:rPr>
          <w:rFonts w:cs="Arial"/>
          <w:sz w:val="52"/>
          <w:szCs w:val="52"/>
        </w:rPr>
      </w:pPr>
      <w:r>
        <w:rPr>
          <w:rFonts w:cs="Arial"/>
          <w:sz w:val="52"/>
          <w:szCs w:val="52"/>
        </w:rPr>
        <w:t>May 2025</w:t>
      </w:r>
    </w:p>
    <w:p w14:paraId="4611E74E"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37E36AB0"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0384D119" w14:textId="77777777" w:rsidTr="004A060F">
        <w:tc>
          <w:tcPr>
            <w:tcW w:w="2088" w:type="dxa"/>
            <w:shd w:val="clear" w:color="auto" w:fill="BFBFBF"/>
            <w:vAlign w:val="center"/>
          </w:tcPr>
          <w:p w14:paraId="2A80A320"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3FEDD84"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D45F404" w14:textId="77777777" w:rsidTr="004A060F">
        <w:tc>
          <w:tcPr>
            <w:tcW w:w="2088" w:type="dxa"/>
            <w:shd w:val="clear" w:color="auto" w:fill="BFBFBF"/>
            <w:vAlign w:val="center"/>
          </w:tcPr>
          <w:p w14:paraId="19564BC8"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1EA5E4C4" w14:textId="77777777" w:rsidR="008A2A20" w:rsidRPr="005230C3" w:rsidRDefault="00875555" w:rsidP="005230C3">
            <w:pPr>
              <w:spacing w:after="120"/>
              <w:rPr>
                <w:rFonts w:cs="Arial"/>
              </w:rPr>
            </w:pPr>
            <w:r>
              <w:rPr>
                <w:rFonts w:cs="Arial"/>
              </w:rPr>
              <w:t>Education &amp; Development Financial Procedures</w:t>
            </w:r>
          </w:p>
        </w:tc>
      </w:tr>
      <w:tr w:rsidR="008A2A20" w:rsidRPr="00C749F0" w14:paraId="593C7117" w14:textId="77777777" w:rsidTr="004A060F">
        <w:tc>
          <w:tcPr>
            <w:tcW w:w="2088" w:type="dxa"/>
            <w:shd w:val="clear" w:color="auto" w:fill="BFBFBF"/>
            <w:vAlign w:val="center"/>
          </w:tcPr>
          <w:p w14:paraId="5FAF1BDC"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5BCCC207" w14:textId="77777777" w:rsidR="008A2A20" w:rsidRPr="00875555" w:rsidRDefault="00875555" w:rsidP="005230C3">
            <w:pPr>
              <w:spacing w:after="120"/>
              <w:rPr>
                <w:rFonts w:cs="Arial"/>
                <w:highlight w:val="yellow"/>
              </w:rPr>
            </w:pPr>
            <w:r w:rsidRPr="00875555">
              <w:rPr>
                <w:rFonts w:cs="Arial"/>
              </w:rPr>
              <w:t>Claire White</w:t>
            </w:r>
          </w:p>
        </w:tc>
      </w:tr>
      <w:tr w:rsidR="008A2A20" w:rsidRPr="00C749F0" w14:paraId="27E78ABC" w14:textId="77777777" w:rsidTr="004A060F">
        <w:tc>
          <w:tcPr>
            <w:tcW w:w="2088" w:type="dxa"/>
            <w:shd w:val="clear" w:color="auto" w:fill="BFBFBF"/>
            <w:vAlign w:val="center"/>
          </w:tcPr>
          <w:p w14:paraId="7ECB646E"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5BD8D170" w14:textId="77777777" w:rsidR="008A2A20" w:rsidRPr="005230C3" w:rsidRDefault="00875555" w:rsidP="00875555">
            <w:pPr>
              <w:spacing w:after="120"/>
              <w:rPr>
                <w:rFonts w:cs="Arial"/>
              </w:rPr>
            </w:pPr>
            <w:r>
              <w:rPr>
                <w:rFonts w:cs="Arial"/>
              </w:rPr>
              <w:t>Finance</w:t>
            </w:r>
          </w:p>
        </w:tc>
      </w:tr>
      <w:tr w:rsidR="00FA7097" w:rsidRPr="00C749F0" w14:paraId="53057455" w14:textId="77777777" w:rsidTr="004A060F">
        <w:tc>
          <w:tcPr>
            <w:tcW w:w="2088" w:type="dxa"/>
            <w:shd w:val="clear" w:color="auto" w:fill="BFBFBF"/>
            <w:vAlign w:val="center"/>
          </w:tcPr>
          <w:p w14:paraId="78C207FD"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6B96FDE" w14:textId="77777777" w:rsidR="00FA7097" w:rsidRPr="005230C3" w:rsidRDefault="00875555" w:rsidP="005230C3">
            <w:pPr>
              <w:spacing w:after="120"/>
              <w:rPr>
                <w:rFonts w:cs="Arial"/>
              </w:rPr>
            </w:pPr>
            <w:r>
              <w:rPr>
                <w:rFonts w:cs="Arial"/>
              </w:rPr>
              <w:t>1</w:t>
            </w:r>
          </w:p>
        </w:tc>
      </w:tr>
      <w:tr w:rsidR="008A2A20" w:rsidRPr="00C749F0" w14:paraId="194D02C0" w14:textId="77777777" w:rsidTr="004A060F">
        <w:tc>
          <w:tcPr>
            <w:tcW w:w="2088" w:type="dxa"/>
            <w:shd w:val="clear" w:color="auto" w:fill="BFBFBF"/>
            <w:vAlign w:val="center"/>
          </w:tcPr>
          <w:p w14:paraId="134CD52C"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059AA8DE"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0A963353" w14:textId="77777777" w:rsidTr="004A060F">
        <w:tc>
          <w:tcPr>
            <w:tcW w:w="2088" w:type="dxa"/>
            <w:shd w:val="clear" w:color="auto" w:fill="BFBFBF"/>
            <w:vAlign w:val="center"/>
          </w:tcPr>
          <w:p w14:paraId="3A6F38C5"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57E1C02C" w14:textId="0DBF7280" w:rsidR="008A2A20" w:rsidRPr="005230C3" w:rsidRDefault="00967414" w:rsidP="005230C3">
            <w:pPr>
              <w:spacing w:after="120"/>
              <w:rPr>
                <w:rFonts w:cs="Arial"/>
              </w:rPr>
            </w:pPr>
            <w:r>
              <w:rPr>
                <w:rFonts w:cs="Arial"/>
              </w:rPr>
              <w:t>7.05.2025</w:t>
            </w:r>
          </w:p>
        </w:tc>
      </w:tr>
      <w:tr w:rsidR="008A2A20" w:rsidRPr="00C749F0" w14:paraId="18E850C7" w14:textId="77777777" w:rsidTr="004A060F">
        <w:tc>
          <w:tcPr>
            <w:tcW w:w="2088" w:type="dxa"/>
            <w:shd w:val="clear" w:color="auto" w:fill="BFBFBF"/>
            <w:vAlign w:val="center"/>
          </w:tcPr>
          <w:p w14:paraId="3F3BBABD"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7177B85A" w14:textId="77777777" w:rsidR="008A2A20" w:rsidRPr="00F213DA" w:rsidRDefault="00875555" w:rsidP="005230C3">
            <w:pPr>
              <w:spacing w:after="120"/>
              <w:rPr>
                <w:rFonts w:cs="Arial"/>
                <w:i/>
              </w:rPr>
            </w:pPr>
            <w:r>
              <w:rPr>
                <w:rFonts w:cs="Arial"/>
                <w:i/>
              </w:rPr>
              <w:t>3 years from approval</w:t>
            </w:r>
          </w:p>
        </w:tc>
      </w:tr>
      <w:tr w:rsidR="008A2A20" w:rsidRPr="00C749F0" w14:paraId="613758F0" w14:textId="77777777" w:rsidTr="004A060F">
        <w:tc>
          <w:tcPr>
            <w:tcW w:w="2088" w:type="dxa"/>
            <w:shd w:val="clear" w:color="auto" w:fill="BFBFBF"/>
            <w:vAlign w:val="center"/>
          </w:tcPr>
          <w:p w14:paraId="236FB457"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0F66437A"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235BE32E"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026"/>
        <w:gridCol w:w="6492"/>
      </w:tblGrid>
      <w:tr w:rsidR="00D44850" w14:paraId="41CADA31" w14:textId="77777777" w:rsidTr="00967414">
        <w:tc>
          <w:tcPr>
            <w:tcW w:w="1379" w:type="dxa"/>
            <w:shd w:val="clear" w:color="auto" w:fill="BFBFBF"/>
          </w:tcPr>
          <w:p w14:paraId="17271615" w14:textId="77777777" w:rsidR="00D44850" w:rsidRPr="00D44850" w:rsidRDefault="00D44850" w:rsidP="00D44850">
            <w:pPr>
              <w:spacing w:after="120"/>
              <w:rPr>
                <w:rFonts w:cs="Arial"/>
                <w:b/>
              </w:rPr>
            </w:pPr>
            <w:r w:rsidRPr="00D44850">
              <w:rPr>
                <w:rFonts w:cs="Arial"/>
                <w:b/>
              </w:rPr>
              <w:t>Date</w:t>
            </w:r>
          </w:p>
        </w:tc>
        <w:tc>
          <w:tcPr>
            <w:tcW w:w="1026" w:type="dxa"/>
            <w:shd w:val="clear" w:color="auto" w:fill="BFBFBF"/>
          </w:tcPr>
          <w:p w14:paraId="5186EA36" w14:textId="77777777" w:rsidR="00D44850" w:rsidRPr="00D44850" w:rsidRDefault="00D44850" w:rsidP="00D44850">
            <w:pPr>
              <w:spacing w:after="120"/>
              <w:rPr>
                <w:rFonts w:cs="Arial"/>
                <w:b/>
              </w:rPr>
            </w:pPr>
            <w:r w:rsidRPr="00D44850">
              <w:rPr>
                <w:rFonts w:cs="Arial"/>
                <w:b/>
              </w:rPr>
              <w:t xml:space="preserve">Version </w:t>
            </w:r>
          </w:p>
        </w:tc>
        <w:tc>
          <w:tcPr>
            <w:tcW w:w="6492" w:type="dxa"/>
            <w:shd w:val="clear" w:color="auto" w:fill="BFBFBF"/>
          </w:tcPr>
          <w:p w14:paraId="3FD3F781" w14:textId="77777777" w:rsidR="00D44850" w:rsidRPr="00D44850" w:rsidRDefault="00D44850" w:rsidP="00D44850">
            <w:pPr>
              <w:spacing w:after="120"/>
              <w:rPr>
                <w:rFonts w:cs="Arial"/>
                <w:b/>
              </w:rPr>
            </w:pPr>
            <w:r w:rsidRPr="00D44850">
              <w:rPr>
                <w:rFonts w:cs="Arial"/>
                <w:b/>
              </w:rPr>
              <w:t>Summary of changes made</w:t>
            </w:r>
          </w:p>
        </w:tc>
      </w:tr>
      <w:tr w:rsidR="00D44850" w14:paraId="0F766146" w14:textId="77777777" w:rsidTr="00967414">
        <w:tc>
          <w:tcPr>
            <w:tcW w:w="1379" w:type="dxa"/>
            <w:shd w:val="clear" w:color="auto" w:fill="auto"/>
          </w:tcPr>
          <w:p w14:paraId="1E216AD6" w14:textId="6BC17C66" w:rsidR="00D44850" w:rsidRPr="005230C3" w:rsidRDefault="00967414" w:rsidP="00ED16EC">
            <w:pPr>
              <w:rPr>
                <w:rFonts w:cs="Arial"/>
              </w:rPr>
            </w:pPr>
            <w:r>
              <w:rPr>
                <w:rFonts w:cs="Arial"/>
              </w:rPr>
              <w:t>May 2025</w:t>
            </w:r>
          </w:p>
        </w:tc>
        <w:tc>
          <w:tcPr>
            <w:tcW w:w="1026" w:type="dxa"/>
            <w:shd w:val="clear" w:color="auto" w:fill="auto"/>
            <w:vAlign w:val="center"/>
          </w:tcPr>
          <w:p w14:paraId="030C4FD7" w14:textId="609F24EE" w:rsidR="00D44850" w:rsidRPr="005230C3" w:rsidRDefault="00C5754A" w:rsidP="00813809">
            <w:pPr>
              <w:jc w:val="center"/>
              <w:rPr>
                <w:rFonts w:cs="Arial"/>
              </w:rPr>
            </w:pPr>
            <w:r>
              <w:rPr>
                <w:rFonts w:cs="Arial"/>
              </w:rPr>
              <w:t>1</w:t>
            </w:r>
          </w:p>
        </w:tc>
        <w:tc>
          <w:tcPr>
            <w:tcW w:w="6492" w:type="dxa"/>
            <w:shd w:val="clear" w:color="auto" w:fill="auto"/>
          </w:tcPr>
          <w:p w14:paraId="0A5F9226" w14:textId="2A7F005F" w:rsidR="00D44850" w:rsidRPr="005230C3" w:rsidRDefault="00C5754A" w:rsidP="005230C3">
            <w:pPr>
              <w:rPr>
                <w:rFonts w:cs="Arial"/>
              </w:rPr>
            </w:pPr>
            <w:r>
              <w:rPr>
                <w:rFonts w:cs="Arial"/>
              </w:rPr>
              <w:t>New SOP</w:t>
            </w:r>
          </w:p>
        </w:tc>
      </w:tr>
      <w:tr w:rsidR="00D44850" w14:paraId="0E2FD001" w14:textId="77777777" w:rsidTr="00967414">
        <w:tc>
          <w:tcPr>
            <w:tcW w:w="1379" w:type="dxa"/>
            <w:shd w:val="clear" w:color="auto" w:fill="auto"/>
          </w:tcPr>
          <w:p w14:paraId="4B7E7E01" w14:textId="77777777" w:rsidR="00D44850" w:rsidRPr="005230C3" w:rsidRDefault="00D44850" w:rsidP="00ED16EC">
            <w:pPr>
              <w:rPr>
                <w:rFonts w:cs="Arial"/>
              </w:rPr>
            </w:pPr>
          </w:p>
        </w:tc>
        <w:tc>
          <w:tcPr>
            <w:tcW w:w="1026" w:type="dxa"/>
            <w:shd w:val="clear" w:color="auto" w:fill="auto"/>
            <w:vAlign w:val="center"/>
          </w:tcPr>
          <w:p w14:paraId="4EB4D72C" w14:textId="77777777" w:rsidR="00D44850" w:rsidRPr="005230C3" w:rsidRDefault="00D44850" w:rsidP="00813809">
            <w:pPr>
              <w:jc w:val="center"/>
              <w:rPr>
                <w:rFonts w:cs="Arial"/>
              </w:rPr>
            </w:pPr>
          </w:p>
        </w:tc>
        <w:tc>
          <w:tcPr>
            <w:tcW w:w="6492" w:type="dxa"/>
            <w:shd w:val="clear" w:color="auto" w:fill="auto"/>
          </w:tcPr>
          <w:p w14:paraId="0AAF9D3C" w14:textId="77777777" w:rsidR="00D44850" w:rsidRPr="005230C3" w:rsidRDefault="00D44850" w:rsidP="00ED16EC">
            <w:pPr>
              <w:rPr>
                <w:rFonts w:cs="Arial"/>
              </w:rPr>
            </w:pPr>
          </w:p>
        </w:tc>
      </w:tr>
      <w:tr w:rsidR="00D44850" w14:paraId="67318501" w14:textId="77777777" w:rsidTr="00967414">
        <w:tc>
          <w:tcPr>
            <w:tcW w:w="1379" w:type="dxa"/>
            <w:shd w:val="clear" w:color="auto" w:fill="auto"/>
          </w:tcPr>
          <w:p w14:paraId="5B4B7B98" w14:textId="77777777" w:rsidR="00D44850" w:rsidRPr="005230C3" w:rsidRDefault="00D44850" w:rsidP="00ED16EC">
            <w:pPr>
              <w:rPr>
                <w:rFonts w:cs="Arial"/>
              </w:rPr>
            </w:pPr>
          </w:p>
        </w:tc>
        <w:tc>
          <w:tcPr>
            <w:tcW w:w="1026" w:type="dxa"/>
            <w:shd w:val="clear" w:color="auto" w:fill="auto"/>
            <w:vAlign w:val="center"/>
          </w:tcPr>
          <w:p w14:paraId="79D17020" w14:textId="77777777" w:rsidR="00D44850" w:rsidRPr="005230C3" w:rsidRDefault="00D44850" w:rsidP="00813809">
            <w:pPr>
              <w:jc w:val="center"/>
              <w:rPr>
                <w:rFonts w:cs="Arial"/>
              </w:rPr>
            </w:pPr>
          </w:p>
        </w:tc>
        <w:tc>
          <w:tcPr>
            <w:tcW w:w="6492" w:type="dxa"/>
            <w:shd w:val="clear" w:color="auto" w:fill="auto"/>
          </w:tcPr>
          <w:p w14:paraId="72C769C4" w14:textId="77777777" w:rsidR="00D44850" w:rsidRPr="005230C3" w:rsidRDefault="00D44850" w:rsidP="00ED16EC">
            <w:pPr>
              <w:rPr>
                <w:rFonts w:cs="Arial"/>
              </w:rPr>
            </w:pPr>
          </w:p>
        </w:tc>
      </w:tr>
    </w:tbl>
    <w:p w14:paraId="71C85A7E" w14:textId="77777777" w:rsidR="008A2A20" w:rsidRDefault="008A2A20" w:rsidP="00ED16EC"/>
    <w:p w14:paraId="2E447987"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13F6FD4C" w14:textId="77777777" w:rsidR="00DA54D2" w:rsidRPr="00BE1EF3" w:rsidRDefault="00DA54D2" w:rsidP="005230C3">
      <w:pPr>
        <w:spacing w:after="120"/>
        <w:rPr>
          <w:rFonts w:cs="Arial"/>
          <w:b/>
          <w:sz w:val="24"/>
        </w:rPr>
      </w:pPr>
      <w:r w:rsidRPr="00BE1EF3">
        <w:rPr>
          <w:rFonts w:cs="Arial"/>
          <w:b/>
          <w:sz w:val="24"/>
        </w:rPr>
        <w:lastRenderedPageBreak/>
        <w:t>Contents</w:t>
      </w:r>
    </w:p>
    <w:p w14:paraId="618A9078" w14:textId="420E24C5" w:rsidR="001F4480"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97077372" w:history="1">
        <w:r w:rsidR="001F4480" w:rsidRPr="00036381">
          <w:rPr>
            <w:rStyle w:val="Hyperlink"/>
            <w:noProof/>
          </w:rPr>
          <w:t>Introduction</w:t>
        </w:r>
        <w:r w:rsidR="001F4480">
          <w:rPr>
            <w:noProof/>
            <w:webHidden/>
          </w:rPr>
          <w:tab/>
        </w:r>
        <w:r w:rsidR="001F4480">
          <w:rPr>
            <w:noProof/>
            <w:webHidden/>
          </w:rPr>
          <w:fldChar w:fldCharType="begin"/>
        </w:r>
        <w:r w:rsidR="001F4480">
          <w:rPr>
            <w:noProof/>
            <w:webHidden/>
          </w:rPr>
          <w:instrText xml:space="preserve"> PAGEREF _Toc197077372 \h </w:instrText>
        </w:r>
        <w:r w:rsidR="001F4480">
          <w:rPr>
            <w:noProof/>
            <w:webHidden/>
          </w:rPr>
        </w:r>
        <w:r w:rsidR="001F4480">
          <w:rPr>
            <w:noProof/>
            <w:webHidden/>
          </w:rPr>
          <w:fldChar w:fldCharType="separate"/>
        </w:r>
        <w:r w:rsidR="001F4480">
          <w:rPr>
            <w:noProof/>
            <w:webHidden/>
          </w:rPr>
          <w:t>4</w:t>
        </w:r>
        <w:r w:rsidR="001F4480">
          <w:rPr>
            <w:noProof/>
            <w:webHidden/>
          </w:rPr>
          <w:fldChar w:fldCharType="end"/>
        </w:r>
      </w:hyperlink>
    </w:p>
    <w:p w14:paraId="1BD53EC3" w14:textId="7AC488DC" w:rsidR="001F4480" w:rsidRDefault="001F4480">
      <w:pPr>
        <w:pStyle w:val="TOC1"/>
        <w:tabs>
          <w:tab w:val="right" w:leader="dot" w:pos="9350"/>
        </w:tabs>
        <w:rPr>
          <w:rFonts w:asciiTheme="minorHAnsi" w:eastAsiaTheme="minorEastAsia" w:hAnsiTheme="minorHAnsi" w:cstheme="minorBidi"/>
          <w:noProof/>
          <w:kern w:val="2"/>
          <w:sz w:val="24"/>
          <w14:ligatures w14:val="standardContextual"/>
        </w:rPr>
      </w:pPr>
      <w:hyperlink w:anchor="_Toc197077373" w:history="1">
        <w:r w:rsidRPr="00036381">
          <w:rPr>
            <w:rStyle w:val="Hyperlink"/>
            <w:noProof/>
          </w:rPr>
          <w:t>SOP 1 External Course Bookings</w:t>
        </w:r>
        <w:r>
          <w:rPr>
            <w:noProof/>
            <w:webHidden/>
          </w:rPr>
          <w:tab/>
        </w:r>
        <w:r>
          <w:rPr>
            <w:noProof/>
            <w:webHidden/>
          </w:rPr>
          <w:fldChar w:fldCharType="begin"/>
        </w:r>
        <w:r>
          <w:rPr>
            <w:noProof/>
            <w:webHidden/>
          </w:rPr>
          <w:instrText xml:space="preserve"> PAGEREF _Toc197077373 \h </w:instrText>
        </w:r>
        <w:r>
          <w:rPr>
            <w:noProof/>
            <w:webHidden/>
          </w:rPr>
        </w:r>
        <w:r>
          <w:rPr>
            <w:noProof/>
            <w:webHidden/>
          </w:rPr>
          <w:fldChar w:fldCharType="separate"/>
        </w:r>
        <w:r>
          <w:rPr>
            <w:noProof/>
            <w:webHidden/>
          </w:rPr>
          <w:t>5</w:t>
        </w:r>
        <w:r>
          <w:rPr>
            <w:noProof/>
            <w:webHidden/>
          </w:rPr>
          <w:fldChar w:fldCharType="end"/>
        </w:r>
      </w:hyperlink>
    </w:p>
    <w:p w14:paraId="5ED57948" w14:textId="5320956B" w:rsidR="001F4480" w:rsidRDefault="001F4480">
      <w:pPr>
        <w:pStyle w:val="TOC1"/>
        <w:tabs>
          <w:tab w:val="right" w:leader="dot" w:pos="9350"/>
        </w:tabs>
        <w:rPr>
          <w:rFonts w:asciiTheme="minorHAnsi" w:eastAsiaTheme="minorEastAsia" w:hAnsiTheme="minorHAnsi" w:cstheme="minorBidi"/>
          <w:noProof/>
          <w:kern w:val="2"/>
          <w:sz w:val="24"/>
          <w14:ligatures w14:val="standardContextual"/>
        </w:rPr>
      </w:pPr>
      <w:hyperlink w:anchor="_Toc197077374" w:history="1">
        <w:r w:rsidRPr="00036381">
          <w:rPr>
            <w:rStyle w:val="Hyperlink"/>
            <w:noProof/>
          </w:rPr>
          <w:t>SOP 2 FNHC Education and training delivery booking and payment management</w:t>
        </w:r>
        <w:r>
          <w:rPr>
            <w:noProof/>
            <w:webHidden/>
          </w:rPr>
          <w:tab/>
        </w:r>
        <w:r>
          <w:rPr>
            <w:noProof/>
            <w:webHidden/>
          </w:rPr>
          <w:fldChar w:fldCharType="begin"/>
        </w:r>
        <w:r>
          <w:rPr>
            <w:noProof/>
            <w:webHidden/>
          </w:rPr>
          <w:instrText xml:space="preserve"> PAGEREF _Toc197077374 \h </w:instrText>
        </w:r>
        <w:r>
          <w:rPr>
            <w:noProof/>
            <w:webHidden/>
          </w:rPr>
        </w:r>
        <w:r>
          <w:rPr>
            <w:noProof/>
            <w:webHidden/>
          </w:rPr>
          <w:fldChar w:fldCharType="separate"/>
        </w:r>
        <w:r>
          <w:rPr>
            <w:noProof/>
            <w:webHidden/>
          </w:rPr>
          <w:t>7</w:t>
        </w:r>
        <w:r>
          <w:rPr>
            <w:noProof/>
            <w:webHidden/>
          </w:rPr>
          <w:fldChar w:fldCharType="end"/>
        </w:r>
      </w:hyperlink>
    </w:p>
    <w:p w14:paraId="3E9AB312" w14:textId="7C295E1C" w:rsidR="001F4480" w:rsidRDefault="001F4480">
      <w:pPr>
        <w:pStyle w:val="TOC1"/>
        <w:tabs>
          <w:tab w:val="right" w:leader="dot" w:pos="9350"/>
        </w:tabs>
        <w:rPr>
          <w:rFonts w:asciiTheme="minorHAnsi" w:eastAsiaTheme="minorEastAsia" w:hAnsiTheme="minorHAnsi" w:cstheme="minorBidi"/>
          <w:noProof/>
          <w:kern w:val="2"/>
          <w:sz w:val="24"/>
          <w14:ligatures w14:val="standardContextual"/>
        </w:rPr>
      </w:pPr>
      <w:hyperlink w:anchor="_Toc197077375" w:history="1">
        <w:r w:rsidRPr="00036381">
          <w:rPr>
            <w:rStyle w:val="Hyperlink"/>
            <w:noProof/>
          </w:rPr>
          <w:t>SOP 3 Purchases – Equipment/refreshments/etc.</w:t>
        </w:r>
        <w:r>
          <w:rPr>
            <w:noProof/>
            <w:webHidden/>
          </w:rPr>
          <w:tab/>
        </w:r>
        <w:r>
          <w:rPr>
            <w:noProof/>
            <w:webHidden/>
          </w:rPr>
          <w:fldChar w:fldCharType="begin"/>
        </w:r>
        <w:r>
          <w:rPr>
            <w:noProof/>
            <w:webHidden/>
          </w:rPr>
          <w:instrText xml:space="preserve"> PAGEREF _Toc197077375 \h </w:instrText>
        </w:r>
        <w:r>
          <w:rPr>
            <w:noProof/>
            <w:webHidden/>
          </w:rPr>
        </w:r>
        <w:r>
          <w:rPr>
            <w:noProof/>
            <w:webHidden/>
          </w:rPr>
          <w:fldChar w:fldCharType="separate"/>
        </w:r>
        <w:r>
          <w:rPr>
            <w:noProof/>
            <w:webHidden/>
          </w:rPr>
          <w:t>8</w:t>
        </w:r>
        <w:r>
          <w:rPr>
            <w:noProof/>
            <w:webHidden/>
          </w:rPr>
          <w:fldChar w:fldCharType="end"/>
        </w:r>
      </w:hyperlink>
    </w:p>
    <w:p w14:paraId="410989B7" w14:textId="4FD4934D" w:rsidR="009B2BAA" w:rsidRPr="009B2BAA" w:rsidRDefault="001D4AF4" w:rsidP="00C5754A">
      <w:pPr>
        <w:rPr>
          <w:rFonts w:cs="Arial"/>
          <w:i/>
          <w:szCs w:val="22"/>
        </w:rPr>
      </w:pPr>
      <w:r>
        <w:rPr>
          <w:b/>
          <w:bCs/>
          <w:noProof/>
        </w:rPr>
        <w:fldChar w:fldCharType="end"/>
      </w:r>
    </w:p>
    <w:p w14:paraId="25F4FFA2" w14:textId="77777777" w:rsidR="009B2BAA" w:rsidRDefault="009B2BAA" w:rsidP="00ED16EC">
      <w:pPr>
        <w:rPr>
          <w:rFonts w:cs="Arial"/>
          <w:szCs w:val="22"/>
        </w:rPr>
      </w:pPr>
    </w:p>
    <w:p w14:paraId="42FFAEA3"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65DB7350" w14:textId="77777777" w:rsidR="00DA54D2" w:rsidRPr="00021A60" w:rsidRDefault="006979D0" w:rsidP="00967414">
      <w:pPr>
        <w:pStyle w:val="Heading1"/>
        <w:rPr>
          <w:b w:val="0"/>
          <w:szCs w:val="28"/>
        </w:rPr>
      </w:pPr>
      <w:bookmarkStart w:id="0" w:name="_Toc197077372"/>
      <w:r w:rsidRPr="00967414">
        <w:lastRenderedPageBreak/>
        <w:t>Introduction</w:t>
      </w:r>
      <w:bookmarkEnd w:id="0"/>
    </w:p>
    <w:p w14:paraId="6E2D4D14" w14:textId="75559F0E" w:rsidR="00716280" w:rsidRPr="00295F59" w:rsidRDefault="00875555" w:rsidP="00ED16EC">
      <w:pPr>
        <w:rPr>
          <w:rFonts w:cs="Arial"/>
          <w:szCs w:val="22"/>
        </w:rPr>
      </w:pPr>
      <w:r>
        <w:rPr>
          <w:rFonts w:cs="Arial"/>
          <w:szCs w:val="22"/>
        </w:rPr>
        <w:t xml:space="preserve">The following procedures have been developed to enable clear and transparent processes regarding financial transactions and </w:t>
      </w:r>
      <w:r w:rsidR="0099676B">
        <w:rPr>
          <w:rFonts w:cs="Arial"/>
          <w:szCs w:val="22"/>
        </w:rPr>
        <w:t>information sharing</w:t>
      </w:r>
      <w:r>
        <w:rPr>
          <w:rFonts w:cs="Arial"/>
          <w:szCs w:val="22"/>
        </w:rPr>
        <w:t xml:space="preserve"> between Family Nursing &amp; Home Care (FNHC) Education &amp; Development (</w:t>
      </w:r>
      <w:r w:rsidR="00FB7043">
        <w:rPr>
          <w:rFonts w:cs="Arial"/>
          <w:szCs w:val="22"/>
        </w:rPr>
        <w:t>E&amp;D</w:t>
      </w:r>
      <w:r>
        <w:rPr>
          <w:rFonts w:cs="Arial"/>
          <w:szCs w:val="22"/>
        </w:rPr>
        <w:t>) and Finance Departments.</w:t>
      </w:r>
    </w:p>
    <w:p w14:paraId="5AF2E283" w14:textId="77777777" w:rsidR="00716280" w:rsidRPr="00295F59" w:rsidRDefault="00716280" w:rsidP="00ED16EC">
      <w:pPr>
        <w:rPr>
          <w:rFonts w:cs="Arial"/>
          <w:szCs w:val="22"/>
        </w:rPr>
      </w:pPr>
    </w:p>
    <w:p w14:paraId="32E8AB4F"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2300C8DF" w14:textId="77777777" w:rsidR="006979D0" w:rsidRPr="00C676A7" w:rsidRDefault="00F7089A" w:rsidP="00967414">
      <w:pPr>
        <w:pStyle w:val="Heading1"/>
      </w:pPr>
      <w:bookmarkStart w:id="1" w:name="_Toc197077373"/>
      <w:r w:rsidRPr="00BE1EF3">
        <w:lastRenderedPageBreak/>
        <w:t>SOP</w:t>
      </w:r>
      <w:r>
        <w:t xml:space="preserve"> 1</w:t>
      </w:r>
      <w:r w:rsidR="00875555">
        <w:t xml:space="preserve"> External </w:t>
      </w:r>
      <w:r w:rsidR="00875555" w:rsidRPr="00967414">
        <w:t>Course</w:t>
      </w:r>
      <w:r w:rsidR="00875555">
        <w:t xml:space="preserve"> Bookings</w:t>
      </w:r>
      <w:bookmarkEnd w:id="1"/>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1E2B91F5" w14:textId="77777777" w:rsidTr="00546034">
        <w:tc>
          <w:tcPr>
            <w:tcW w:w="9493" w:type="dxa"/>
            <w:tcBorders>
              <w:top w:val="single" w:sz="4" w:space="0" w:color="auto"/>
              <w:bottom w:val="single" w:sz="4" w:space="0" w:color="auto"/>
            </w:tcBorders>
            <w:shd w:val="clear" w:color="auto" w:fill="E6E6E6"/>
          </w:tcPr>
          <w:p w14:paraId="7026DE50" w14:textId="77777777" w:rsidR="006979D0" w:rsidRPr="00627A52" w:rsidRDefault="006979D0" w:rsidP="00ED16EC">
            <w:pPr>
              <w:rPr>
                <w:rFonts w:cs="Arial"/>
                <w:b/>
                <w:i/>
              </w:rPr>
            </w:pPr>
            <w:r w:rsidRPr="00C676A7">
              <w:rPr>
                <w:rFonts w:cs="Arial"/>
                <w:b/>
                <w:i/>
                <w:szCs w:val="22"/>
              </w:rPr>
              <w:t>Purpose</w:t>
            </w:r>
          </w:p>
        </w:tc>
      </w:tr>
    </w:tbl>
    <w:p w14:paraId="088B3741" w14:textId="377A8DC2" w:rsidR="006979D0" w:rsidRPr="00F7089A" w:rsidRDefault="00875555" w:rsidP="00967414">
      <w:pPr>
        <w:spacing w:after="120"/>
      </w:pPr>
      <w:r>
        <w:t xml:space="preserve">This procedure will set out arrangements to ensure </w:t>
      </w:r>
      <w:r w:rsidR="00FB7043">
        <w:t>E&amp;D</w:t>
      </w:r>
      <w:r w:rsidR="00E130D7">
        <w:t xml:space="preserve"> and Finance </w:t>
      </w:r>
      <w:r>
        <w:t>are aware of expectations and responsibilitie</w:t>
      </w:r>
      <w:r w:rsidR="00B00F22">
        <w:t xml:space="preserve">s </w:t>
      </w:r>
      <w:r w:rsidR="00E130D7">
        <w:t xml:space="preserve">of the </w:t>
      </w:r>
      <w:r w:rsidR="00FB7043">
        <w:t>E&amp;D</w:t>
      </w:r>
      <w:r w:rsidR="00E130D7">
        <w:t xml:space="preserve"> team to</w:t>
      </w:r>
      <w:r w:rsidR="00B00F22">
        <w:t xml:space="preserve"> ensure that </w:t>
      </w:r>
      <w:r w:rsidR="00A219D7">
        <w:t xml:space="preserve">payments for </w:t>
      </w:r>
      <w:r w:rsidR="00B00F22">
        <w:t>external t</w:t>
      </w:r>
      <w:r w:rsidR="00A219D7">
        <w:t>raining and courses are appropriately managed and recorded.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BC42D17" w14:textId="77777777" w:rsidTr="00546034">
        <w:tc>
          <w:tcPr>
            <w:tcW w:w="9493" w:type="dxa"/>
            <w:shd w:val="clear" w:color="auto" w:fill="E6E6E6"/>
          </w:tcPr>
          <w:p w14:paraId="5FD36485" w14:textId="77777777" w:rsidR="006979D0" w:rsidRPr="00627A52" w:rsidRDefault="006979D0" w:rsidP="00ED16EC">
            <w:pPr>
              <w:rPr>
                <w:rFonts w:cs="Arial"/>
                <w:b/>
                <w:i/>
              </w:rPr>
            </w:pPr>
            <w:r w:rsidRPr="00C676A7">
              <w:rPr>
                <w:rFonts w:cs="Arial"/>
                <w:b/>
                <w:i/>
                <w:szCs w:val="22"/>
              </w:rPr>
              <w:t>Scope</w:t>
            </w:r>
          </w:p>
        </w:tc>
      </w:tr>
    </w:tbl>
    <w:p w14:paraId="3F99AB92" w14:textId="1CF416C3" w:rsidR="001270A9" w:rsidRPr="00F7089A" w:rsidRDefault="00A219D7" w:rsidP="00967414">
      <w:pPr>
        <w:spacing w:after="120"/>
      </w:pPr>
      <w:r>
        <w:t>This SOP refers to</w:t>
      </w:r>
      <w:r w:rsidR="00620878">
        <w:t xml:space="preserve"> any course/training/conference provided by an external supplier which requires payment and may or may not require additional resources i.e. travel</w:t>
      </w:r>
      <w:r w:rsidR="003758BF">
        <w:t>/</w:t>
      </w:r>
      <w:r w:rsidR="00EA64DE">
        <w:t>accommodation</w:t>
      </w:r>
      <w:r w:rsidR="003758BF">
        <w:t xml:space="preserve"> costs</w:t>
      </w:r>
      <w:r w:rsidR="00620878">
        <w:t xml:space="preserve"> etc.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15C184C0" w14:textId="77777777" w:rsidTr="00B83421">
        <w:tc>
          <w:tcPr>
            <w:tcW w:w="9493" w:type="dxa"/>
            <w:shd w:val="clear" w:color="auto" w:fill="E6E6E6"/>
          </w:tcPr>
          <w:p w14:paraId="0557D636"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3C0E76E4" w14:textId="77777777" w:rsidR="00F7089A" w:rsidRPr="00967414" w:rsidRDefault="001270A9" w:rsidP="00967414">
      <w:pPr>
        <w:spacing w:before="360"/>
        <w:rPr>
          <w:b/>
          <w:bCs/>
        </w:rPr>
      </w:pPr>
      <w:r w:rsidRPr="00967414">
        <w:rPr>
          <w:b/>
          <w:bCs/>
        </w:rPr>
        <w:t>Standard Process</w:t>
      </w:r>
    </w:p>
    <w:p w14:paraId="11F3EB10" w14:textId="22CB5234" w:rsidR="00620878" w:rsidRDefault="00FB7043" w:rsidP="00967414">
      <w:r>
        <w:t>E&amp;D</w:t>
      </w:r>
      <w:r w:rsidR="00620878">
        <w:t xml:space="preserve"> </w:t>
      </w:r>
      <w:r w:rsidR="001270A9">
        <w:t>‘</w:t>
      </w:r>
      <w:r w:rsidR="00620878">
        <w:t>application for funding</w:t>
      </w:r>
      <w:r w:rsidR="001270A9">
        <w:t>’</w:t>
      </w:r>
      <w:r w:rsidR="00620878">
        <w:t xml:space="preserve"> forms to be submitted and approved (as per </w:t>
      </w:r>
      <w:r>
        <w:t>E&amp;D</w:t>
      </w:r>
      <w:r w:rsidR="00620878">
        <w:t xml:space="preserve"> S</w:t>
      </w:r>
      <w:r w:rsidR="003758BF">
        <w:t>OPs).</w:t>
      </w:r>
    </w:p>
    <w:p w14:paraId="558D7D4F" w14:textId="68A2378B" w:rsidR="003758BF" w:rsidRDefault="003758BF" w:rsidP="00967414">
      <w:r>
        <w:t>The completed and signed application</w:t>
      </w:r>
      <w:r w:rsidR="0017797C">
        <w:t xml:space="preserve"> form</w:t>
      </w:r>
      <w:r>
        <w:t xml:space="preserve"> which details estimated costs will be sent to Finance.</w:t>
      </w:r>
    </w:p>
    <w:p w14:paraId="300D17E4" w14:textId="19E3AA81" w:rsidR="003758BF" w:rsidRDefault="00FB7043" w:rsidP="00967414">
      <w:r>
        <w:t>E&amp;D</w:t>
      </w:r>
      <w:r w:rsidR="003758BF">
        <w:t xml:space="preserve"> will keep a record of </w:t>
      </w:r>
      <w:r w:rsidR="00E130D7">
        <w:t>each application</w:t>
      </w:r>
      <w:r w:rsidR="0017797C">
        <w:t xml:space="preserve"> on Assure and a separate</w:t>
      </w:r>
      <w:r w:rsidR="003758BF">
        <w:t xml:space="preserve"> spreadsheet</w:t>
      </w:r>
      <w:r w:rsidR="0017797C">
        <w:t>.</w:t>
      </w:r>
    </w:p>
    <w:p w14:paraId="015A57A7" w14:textId="767CAE46" w:rsidR="001270A9" w:rsidRDefault="00FB7043" w:rsidP="00967414">
      <w:r>
        <w:t>E&amp;D</w:t>
      </w:r>
      <w:r w:rsidR="003758BF">
        <w:t xml:space="preserve"> will request invoices directly from</w:t>
      </w:r>
      <w:r w:rsidR="00495EF6">
        <w:t xml:space="preserve"> suppliers where possible. Alternatively</w:t>
      </w:r>
      <w:r w:rsidR="001270A9">
        <w:t xml:space="preserve"> </w:t>
      </w:r>
    </w:p>
    <w:p w14:paraId="01E162A3" w14:textId="523DE696" w:rsidR="001270A9" w:rsidRDefault="00FB7043" w:rsidP="00967414">
      <w:r>
        <w:t>E&amp;D</w:t>
      </w:r>
      <w:r w:rsidR="001270A9">
        <w:t xml:space="preserve"> will request a Purchase Order form from Finance </w:t>
      </w:r>
      <w:r w:rsidR="00495EF6">
        <w:t>(</w:t>
      </w:r>
      <w:r w:rsidR="001270A9">
        <w:t xml:space="preserve">upon request from </w:t>
      </w:r>
      <w:r w:rsidR="00495EF6">
        <w:t>the supplier)</w:t>
      </w:r>
      <w:r w:rsidR="001270A9">
        <w:t>.</w:t>
      </w:r>
      <w:r w:rsidR="00717377">
        <w:t xml:space="preserve"> </w:t>
      </w:r>
      <w:r>
        <w:t>E&amp;D</w:t>
      </w:r>
      <w:r w:rsidR="00717377">
        <w:t xml:space="preserve"> will send Purchase Order</w:t>
      </w:r>
      <w:r w:rsidR="0017797C">
        <w:t xml:space="preserve"> </w:t>
      </w:r>
      <w:r w:rsidR="0099676B">
        <w:t>(</w:t>
      </w:r>
      <w:r w:rsidR="0017797C">
        <w:t>from Finance</w:t>
      </w:r>
      <w:r w:rsidR="0099676B">
        <w:t>)</w:t>
      </w:r>
      <w:r w:rsidR="00717377">
        <w:t xml:space="preserve"> to supplier where requested.</w:t>
      </w:r>
    </w:p>
    <w:p w14:paraId="3E91A6D6" w14:textId="13FCD1FF" w:rsidR="003758BF" w:rsidRDefault="0017797C" w:rsidP="00967414">
      <w:r>
        <w:t xml:space="preserve">Invoices are usually sent directly to finance following receipt of Purchase Order. </w:t>
      </w:r>
      <w:r w:rsidR="00FB7043">
        <w:t>E&amp;D</w:t>
      </w:r>
      <w:r w:rsidR="001270A9">
        <w:t xml:space="preserve"> will forward </w:t>
      </w:r>
      <w:r>
        <w:t xml:space="preserve">any directly received </w:t>
      </w:r>
      <w:r w:rsidR="001270A9">
        <w:t>invoice</w:t>
      </w:r>
      <w:r>
        <w:t>s</w:t>
      </w:r>
      <w:r w:rsidR="001270A9">
        <w:t xml:space="preserve"> to Finance for payment</w:t>
      </w:r>
      <w:r>
        <w:t>.</w:t>
      </w:r>
    </w:p>
    <w:p w14:paraId="74BA37BE" w14:textId="511F3075" w:rsidR="00717377" w:rsidRDefault="00FB7043" w:rsidP="00967414">
      <w:r>
        <w:t>E&amp;D</w:t>
      </w:r>
      <w:r w:rsidR="00717377">
        <w:t xml:space="preserve"> will forward any further communication regarding invoicing/payment to Finance for their response (where Finance have previously been provided with approved funding form and invoice).</w:t>
      </w:r>
    </w:p>
    <w:p w14:paraId="26F95701" w14:textId="43E1A9FE" w:rsidR="001270A9" w:rsidRDefault="001270A9" w:rsidP="00967414">
      <w:r>
        <w:t xml:space="preserve">Finance will provide </w:t>
      </w:r>
      <w:r w:rsidR="00FB7043">
        <w:t>E&amp;D</w:t>
      </w:r>
      <w:r>
        <w:t xml:space="preserve"> with a list of transactions </w:t>
      </w:r>
      <w:proofErr w:type="gramStart"/>
      <w:r>
        <w:t>on a monthly basis</w:t>
      </w:r>
      <w:proofErr w:type="gramEnd"/>
      <w:r>
        <w:t xml:space="preserve"> which will be checked against </w:t>
      </w:r>
      <w:r w:rsidR="00FB7043">
        <w:t>E&amp;D</w:t>
      </w:r>
      <w:r>
        <w:t xml:space="preserve"> spreadsheet</w:t>
      </w:r>
      <w:r w:rsidR="0017797C">
        <w:t xml:space="preserve"> to reconcile (actual vs estimated costs)</w:t>
      </w:r>
    </w:p>
    <w:p w14:paraId="468B9941" w14:textId="77777777" w:rsidR="001270A9" w:rsidRPr="00967414" w:rsidRDefault="001270A9" w:rsidP="00967414">
      <w:pPr>
        <w:spacing w:before="360"/>
        <w:rPr>
          <w:b/>
          <w:bCs/>
        </w:rPr>
      </w:pPr>
      <w:r w:rsidRPr="00967414">
        <w:rPr>
          <w:b/>
          <w:bCs/>
        </w:rPr>
        <w:t>Credit Card Payments</w:t>
      </w:r>
    </w:p>
    <w:p w14:paraId="74832EEC" w14:textId="0997CDB1" w:rsidR="001270A9" w:rsidRDefault="001270A9" w:rsidP="00967414">
      <w:r>
        <w:t>Where invoices cannot be provid</w:t>
      </w:r>
      <w:r w:rsidR="00717377">
        <w:t>ed or where only debit/</w:t>
      </w:r>
      <w:r>
        <w:t xml:space="preserve">credit card payments are </w:t>
      </w:r>
      <w:r w:rsidR="00717377">
        <w:t xml:space="preserve">accepted </w:t>
      </w:r>
      <w:r w:rsidR="00FB7043">
        <w:t>E&amp;D</w:t>
      </w:r>
      <w:r w:rsidR="00717377">
        <w:t xml:space="preserve"> will complete a Credit Card payment request.</w:t>
      </w:r>
    </w:p>
    <w:p w14:paraId="67AC0B8B" w14:textId="58F9077F" w:rsidR="00717377" w:rsidRDefault="00717377" w:rsidP="00967414">
      <w:r>
        <w:t xml:space="preserve">As a last resort where there is a short notice/urgent need for credit/debit card payment that cannot be processed by Finance, the employee may be asked to complete the payment if possible and complete an Expenses form. This must be agreed in advance with </w:t>
      </w:r>
      <w:r w:rsidR="00FB7043">
        <w:t>E&amp;D</w:t>
      </w:r>
      <w:r>
        <w:t xml:space="preserve"> and must be in line with costs agreed on application for funding.</w:t>
      </w:r>
    </w:p>
    <w:p w14:paraId="17ECF06E" w14:textId="77777777" w:rsidR="00B862F4" w:rsidRPr="00967414" w:rsidRDefault="00B862F4" w:rsidP="00967414">
      <w:pPr>
        <w:spacing w:before="360"/>
        <w:rPr>
          <w:b/>
          <w:bCs/>
        </w:rPr>
      </w:pPr>
      <w:r w:rsidRPr="00967414">
        <w:rPr>
          <w:b/>
          <w:bCs/>
        </w:rPr>
        <w:lastRenderedPageBreak/>
        <w:t>Degree/longer term payment commitments</w:t>
      </w:r>
    </w:p>
    <w:p w14:paraId="77D07277" w14:textId="2D0D819F" w:rsidR="00B862F4" w:rsidRDefault="00B862F4" w:rsidP="00967414">
      <w:r>
        <w:t>The total or modular course fees will be provided on the ‘application for funding’ form</w:t>
      </w:r>
      <w:r w:rsidR="0099676B">
        <w:t xml:space="preserve"> and shared with Finance as above.</w:t>
      </w:r>
    </w:p>
    <w:p w14:paraId="630FA4EC" w14:textId="06B8AC90" w:rsidR="0099676B" w:rsidRDefault="00B862F4" w:rsidP="00967414">
      <w:r>
        <w:t xml:space="preserve">The approximate timeframe of completion of the course will be provided, however, this may vary depending upon the supplier/candidate. Part/whole payments requested through </w:t>
      </w:r>
      <w:r w:rsidR="00FB7043">
        <w:t>E&amp;D</w:t>
      </w:r>
      <w:r>
        <w:t xml:space="preserve"> will be shared with Finance as above</w:t>
      </w:r>
      <w:r w:rsidR="0099676B">
        <w:t xml:space="preserve"> (if requested through </w:t>
      </w:r>
      <w:r w:rsidR="00FB7043">
        <w:t>E&amp;D</w:t>
      </w:r>
      <w:r w:rsidR="0099676B">
        <w:t>)</w:t>
      </w:r>
      <w:r>
        <w:t xml:space="preserve">. </w:t>
      </w:r>
    </w:p>
    <w:p w14:paraId="34013593" w14:textId="1250E944" w:rsidR="00AB3D94" w:rsidRDefault="00AB3D94" w:rsidP="00967414">
      <w:r>
        <w:t>Education progress will be monitored by line managers</w:t>
      </w:r>
    </w:p>
    <w:p w14:paraId="12C43C83" w14:textId="7CFC06E2" w:rsidR="00B862F4" w:rsidRDefault="00FB7043" w:rsidP="00967414">
      <w:r>
        <w:t>E&amp;D</w:t>
      </w:r>
      <w:r w:rsidR="0099676B">
        <w:t xml:space="preserve"> will update their spreadsheet when </w:t>
      </w:r>
      <w:r w:rsidR="00B862F4">
        <w:t>review</w:t>
      </w:r>
      <w:r w:rsidR="0099676B">
        <w:t>ing</w:t>
      </w:r>
      <w:r w:rsidR="00B862F4">
        <w:t xml:space="preserve"> transactions </w:t>
      </w:r>
      <w:r w:rsidR="00644D9D">
        <w:t>shared by Finance</w:t>
      </w:r>
      <w:r w:rsidR="00E130D7">
        <w:t xml:space="preserve"> </w:t>
      </w:r>
      <w:r w:rsidR="00644D9D">
        <w:t>on monthly basis.</w:t>
      </w:r>
    </w:p>
    <w:p w14:paraId="207E016B" w14:textId="77777777" w:rsidR="00F7089A" w:rsidRPr="00295F59" w:rsidRDefault="00F7089A" w:rsidP="00BE1EF3"/>
    <w:p w14:paraId="1D092FAE"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0476D678" w14:textId="77777777" w:rsidR="00F7089A" w:rsidRPr="000C163A" w:rsidRDefault="00F7089A" w:rsidP="00967414">
      <w:pPr>
        <w:pStyle w:val="Heading1"/>
      </w:pPr>
      <w:bookmarkStart w:id="2" w:name="_Toc197077374"/>
      <w:r w:rsidRPr="000C163A">
        <w:lastRenderedPageBreak/>
        <w:t>SOP 2</w:t>
      </w:r>
      <w:r w:rsidR="00722790">
        <w:t xml:space="preserve"> FNHC Education and </w:t>
      </w:r>
      <w:r w:rsidR="00722790" w:rsidRPr="00967414">
        <w:t>training</w:t>
      </w:r>
      <w:r w:rsidR="00722790">
        <w:t xml:space="preserve"> delivery </w:t>
      </w:r>
      <w:r w:rsidR="00112369">
        <w:t>booking and payment management</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6A589EC3" w14:textId="77777777" w:rsidTr="00B83421">
        <w:tc>
          <w:tcPr>
            <w:tcW w:w="9493" w:type="dxa"/>
            <w:tcBorders>
              <w:top w:val="single" w:sz="4" w:space="0" w:color="auto"/>
              <w:bottom w:val="single" w:sz="4" w:space="0" w:color="auto"/>
            </w:tcBorders>
            <w:shd w:val="clear" w:color="auto" w:fill="E6E6E6"/>
          </w:tcPr>
          <w:p w14:paraId="5E0E6C2B" w14:textId="77777777" w:rsidR="006979D0" w:rsidRPr="00BE1EF3" w:rsidRDefault="006979D0" w:rsidP="00BE1EF3">
            <w:pPr>
              <w:rPr>
                <w:b/>
                <w:i/>
              </w:rPr>
            </w:pPr>
            <w:r w:rsidRPr="00BE1EF3">
              <w:rPr>
                <w:b/>
                <w:i/>
              </w:rPr>
              <w:t>Purpose</w:t>
            </w:r>
          </w:p>
        </w:tc>
      </w:tr>
    </w:tbl>
    <w:p w14:paraId="07EDAA86" w14:textId="0A2ABF96" w:rsidR="00112369" w:rsidRPr="00F7089A" w:rsidRDefault="00722790" w:rsidP="00967414">
      <w:pPr>
        <w:spacing w:after="120"/>
      </w:pPr>
      <w:r>
        <w:t xml:space="preserve">Eventbrite will be used to manage all </w:t>
      </w:r>
      <w:r w:rsidR="00FB7043">
        <w:t>E&amp;D</w:t>
      </w:r>
      <w:r>
        <w:t xml:space="preserve"> training provision</w:t>
      </w:r>
      <w:r w:rsidR="00A6365C">
        <w:t xml:space="preserve">. </w:t>
      </w:r>
      <w:r w:rsidR="00112369">
        <w:t>This will allow payment to be made upfront and supports booking management.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584103CA" w14:textId="77777777" w:rsidTr="00B83421">
        <w:tc>
          <w:tcPr>
            <w:tcW w:w="9493" w:type="dxa"/>
            <w:shd w:val="clear" w:color="auto" w:fill="E6E6E6"/>
          </w:tcPr>
          <w:p w14:paraId="43B37FF7" w14:textId="77777777" w:rsidR="006979D0" w:rsidRPr="00BE1EF3" w:rsidRDefault="006979D0" w:rsidP="00BE1EF3">
            <w:pPr>
              <w:rPr>
                <w:b/>
                <w:i/>
              </w:rPr>
            </w:pPr>
            <w:r w:rsidRPr="00BE1EF3">
              <w:rPr>
                <w:b/>
                <w:i/>
              </w:rPr>
              <w:t>Scope</w:t>
            </w:r>
          </w:p>
        </w:tc>
      </w:tr>
    </w:tbl>
    <w:p w14:paraId="6B0B92CE" w14:textId="22A8F40E" w:rsidR="00112369" w:rsidRPr="00F7089A" w:rsidRDefault="0096438B" w:rsidP="00967414">
      <w:pPr>
        <w:spacing w:after="120"/>
      </w:pPr>
      <w:r>
        <w:t>A</w:t>
      </w:r>
      <w:r w:rsidR="00112369">
        <w:t>ll training and education delivered by FNHC will be managed through Eventbrite. This includes: the annual FNHC conference; all courses for both FNHC staff and external candidates; courses that do not attract a fee (i.e. internal courses only); and courses that require payment from external candidates.</w:t>
      </w:r>
      <w:r w:rsidR="002B685A">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7CE4B0D5" w14:textId="77777777" w:rsidTr="00B83421">
        <w:tc>
          <w:tcPr>
            <w:tcW w:w="9493" w:type="dxa"/>
            <w:shd w:val="clear" w:color="auto" w:fill="E6E6E6"/>
          </w:tcPr>
          <w:p w14:paraId="360BC72C"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593F672F" w14:textId="29F09226" w:rsidR="004E4217" w:rsidRDefault="00112369" w:rsidP="00967414">
      <w:pPr>
        <w:spacing w:before="360"/>
      </w:pPr>
      <w:r>
        <w:t xml:space="preserve">Eventbrite account linked to </w:t>
      </w:r>
      <w:r w:rsidR="00FB7043">
        <w:t>E&amp;D</w:t>
      </w:r>
      <w:r>
        <w:t xml:space="preserve"> email account</w:t>
      </w:r>
      <w:r w:rsidR="009214E5">
        <w:t>.</w:t>
      </w:r>
    </w:p>
    <w:p w14:paraId="70666318" w14:textId="283977BD" w:rsidR="00112369" w:rsidRDefault="00112369" w:rsidP="00B83421">
      <w:r>
        <w:t xml:space="preserve">Courses to be uploaded to Eventbrite by </w:t>
      </w:r>
      <w:r w:rsidR="00FB7043">
        <w:t>E&amp;D</w:t>
      </w:r>
      <w:r w:rsidR="009214E5">
        <w:t>.</w:t>
      </w:r>
    </w:p>
    <w:p w14:paraId="22F47493" w14:textId="5C241E62" w:rsidR="00EC23D6" w:rsidRDefault="00FB7043" w:rsidP="00B83421">
      <w:r>
        <w:t>E&amp;D</w:t>
      </w:r>
      <w:r w:rsidR="00112369">
        <w:t xml:space="preserve"> to set up courses where appropriate to enable</w:t>
      </w:r>
      <w:r w:rsidR="00EC23D6">
        <w:t>:</w:t>
      </w:r>
    </w:p>
    <w:p w14:paraId="1728F1C3" w14:textId="77777777" w:rsidR="00EC23D6" w:rsidRDefault="00EC23D6" w:rsidP="00967414">
      <w:pPr>
        <w:pStyle w:val="ListParagraph"/>
        <w:numPr>
          <w:ilvl w:val="0"/>
          <w:numId w:val="11"/>
        </w:numPr>
        <w:ind w:left="714" w:hanging="357"/>
        <w:contextualSpacing w:val="0"/>
      </w:pPr>
      <w:r>
        <w:t>FNHC staff to access free of charge</w:t>
      </w:r>
    </w:p>
    <w:p w14:paraId="6DA6E4FB" w14:textId="3064CFA3" w:rsidR="00EC23D6" w:rsidRDefault="00967414" w:rsidP="00967414">
      <w:pPr>
        <w:pStyle w:val="ListParagraph"/>
        <w:numPr>
          <w:ilvl w:val="0"/>
          <w:numId w:val="11"/>
        </w:numPr>
        <w:ind w:left="714" w:hanging="357"/>
        <w:contextualSpacing w:val="0"/>
      </w:pPr>
      <w:r>
        <w:t>c</w:t>
      </w:r>
      <w:r w:rsidR="00EC23D6">
        <w:t>ourse fees to include Eventbrite admin fee (‘absorbed’) (Course prices agreed March 24)</w:t>
      </w:r>
    </w:p>
    <w:p w14:paraId="36AB5118" w14:textId="5D7EF85C" w:rsidR="00EC23D6" w:rsidRDefault="00967414" w:rsidP="00967414">
      <w:pPr>
        <w:pStyle w:val="ListParagraph"/>
        <w:numPr>
          <w:ilvl w:val="0"/>
          <w:numId w:val="11"/>
        </w:numPr>
        <w:ind w:left="714" w:hanging="357"/>
        <w:contextualSpacing w:val="0"/>
      </w:pPr>
      <w:r>
        <w:t>c</w:t>
      </w:r>
      <w:r w:rsidR="00EC23D6">
        <w:t xml:space="preserve">onference </w:t>
      </w:r>
      <w:r w:rsidR="00DB66D7">
        <w:t xml:space="preserve">event and booking </w:t>
      </w:r>
      <w:r w:rsidR="00EC23D6">
        <w:t>fee to be added separately</w:t>
      </w:r>
    </w:p>
    <w:p w14:paraId="6552CC60" w14:textId="4C1627A0" w:rsidR="00EC23D6" w:rsidRDefault="00EC23D6" w:rsidP="00B83421">
      <w:r>
        <w:t>Hyperlinks for courses for FNHC staff will be uploaded to People First in the Learning Zone</w:t>
      </w:r>
      <w:r w:rsidR="009214E5">
        <w:t>.</w:t>
      </w:r>
    </w:p>
    <w:p w14:paraId="347763BB" w14:textId="08FB0A35" w:rsidR="00EC23D6" w:rsidRDefault="00EC23D6" w:rsidP="00B83421">
      <w:r>
        <w:t>Hyperlinks for courses available to the public will be uploaded to FNHC website</w:t>
      </w:r>
      <w:r w:rsidR="009214E5">
        <w:t>.</w:t>
      </w:r>
    </w:p>
    <w:p w14:paraId="6339C324" w14:textId="77777777" w:rsidR="00112369" w:rsidRDefault="00EC23D6" w:rsidP="00B83421">
      <w:r>
        <w:t>Refunds for courses will be available up to 7 days before the course date, if course cancelled within 48 hours an alternative date will be offered where available.</w:t>
      </w:r>
    </w:p>
    <w:p w14:paraId="3A001D7C" w14:textId="28F44038" w:rsidR="00EC23D6" w:rsidRPr="0096438B" w:rsidRDefault="00EC23D6" w:rsidP="00B83421">
      <w:r w:rsidRPr="0096438B">
        <w:t>Payment is made directly into FNHC account one working day following the date of the course.</w:t>
      </w:r>
    </w:p>
    <w:p w14:paraId="3177FCFB" w14:textId="71FE30CD" w:rsidR="00EC23D6" w:rsidRDefault="00FB7043" w:rsidP="00B83421">
      <w:r>
        <w:t>E&amp;D</w:t>
      </w:r>
      <w:r w:rsidR="00EC23D6">
        <w:t xml:space="preserve"> will send Finance a</w:t>
      </w:r>
      <w:r w:rsidR="00EA64DE">
        <w:t>n Event</w:t>
      </w:r>
      <w:r w:rsidR="009214E5">
        <w:t>brite finance report weekly.</w:t>
      </w:r>
    </w:p>
    <w:p w14:paraId="409B391D" w14:textId="3899A346" w:rsidR="00EC23D6" w:rsidRPr="00F7089A" w:rsidRDefault="0096438B" w:rsidP="00967414">
      <w:r>
        <w:t xml:space="preserve">All course payments </w:t>
      </w:r>
      <w:r w:rsidR="00CB2CF9">
        <w:t xml:space="preserve">should be made via Eventbrite. </w:t>
      </w:r>
      <w:r>
        <w:t>FNHC will no longer offer inv</w:t>
      </w:r>
      <w:r w:rsidR="00CB2CF9">
        <w:t>oices for training and education.</w:t>
      </w:r>
    </w:p>
    <w:p w14:paraId="1DEAEBCC" w14:textId="77777777" w:rsidR="00F7089A" w:rsidRPr="00F7089A" w:rsidRDefault="00F7089A" w:rsidP="00BE1EF3"/>
    <w:p w14:paraId="5864B7EA"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2AF07ECD" w14:textId="77777777" w:rsidR="00F7089A" w:rsidRPr="000C163A" w:rsidRDefault="00F7089A" w:rsidP="00967414">
      <w:pPr>
        <w:pStyle w:val="Heading1"/>
      </w:pPr>
      <w:bookmarkStart w:id="3" w:name="_Toc197077375"/>
      <w:r w:rsidRPr="00BE1EF3">
        <w:lastRenderedPageBreak/>
        <w:t>SOP</w:t>
      </w:r>
      <w:r w:rsidRPr="000C163A">
        <w:t xml:space="preserve"> 3</w:t>
      </w:r>
      <w:r w:rsidR="00D218D6">
        <w:t xml:space="preserve"> Purchases – Equipment/</w:t>
      </w:r>
      <w:r w:rsidR="00D218D6" w:rsidRPr="00967414">
        <w:t>refreshments</w:t>
      </w:r>
      <w:r w:rsidR="00D218D6">
        <w:t>/etc.</w:t>
      </w:r>
      <w:bookmarkEnd w:id="3"/>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34476D8" w14:textId="77777777" w:rsidTr="00B83421">
        <w:tc>
          <w:tcPr>
            <w:tcW w:w="9493" w:type="dxa"/>
            <w:tcBorders>
              <w:top w:val="single" w:sz="4" w:space="0" w:color="auto"/>
              <w:bottom w:val="single" w:sz="4" w:space="0" w:color="auto"/>
            </w:tcBorders>
            <w:shd w:val="clear" w:color="auto" w:fill="E6E6E6"/>
          </w:tcPr>
          <w:p w14:paraId="673D3C70" w14:textId="77777777" w:rsidR="006979D0" w:rsidRPr="00C676A7" w:rsidRDefault="006979D0" w:rsidP="00ED16EC">
            <w:pPr>
              <w:rPr>
                <w:rFonts w:cs="Arial"/>
                <w:b/>
                <w:i/>
              </w:rPr>
            </w:pPr>
            <w:r w:rsidRPr="00C676A7">
              <w:rPr>
                <w:rFonts w:cs="Arial"/>
                <w:b/>
                <w:i/>
              </w:rPr>
              <w:t>Purpose</w:t>
            </w:r>
          </w:p>
        </w:tc>
      </w:tr>
    </w:tbl>
    <w:p w14:paraId="6490145C" w14:textId="1F6A9F1C" w:rsidR="006979D0" w:rsidRPr="00F7089A" w:rsidRDefault="004E4217" w:rsidP="00967414">
      <w:pPr>
        <w:spacing w:after="120"/>
      </w:pPr>
      <w:r>
        <w:t>There will be a clear proce</w:t>
      </w:r>
      <w:r w:rsidR="0099676B">
        <w:t xml:space="preserve">ss for the purchase of </w:t>
      </w:r>
      <w:r w:rsidR="00CB2CF9">
        <w:t>low-cost</w:t>
      </w:r>
      <w:r>
        <w:t xml:space="preserve"> equipment/supplies/refreshments etc.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838A2BF" w14:textId="77777777" w:rsidTr="00B83421">
        <w:tc>
          <w:tcPr>
            <w:tcW w:w="9493" w:type="dxa"/>
            <w:shd w:val="clear" w:color="auto" w:fill="E6E6E6"/>
          </w:tcPr>
          <w:p w14:paraId="0669E9BD" w14:textId="77777777" w:rsidR="006979D0" w:rsidRPr="00C676A7" w:rsidRDefault="006979D0" w:rsidP="00ED16EC">
            <w:pPr>
              <w:rPr>
                <w:rFonts w:cs="Arial"/>
                <w:b/>
                <w:i/>
              </w:rPr>
            </w:pPr>
            <w:r w:rsidRPr="00C676A7">
              <w:rPr>
                <w:rFonts w:cs="Arial"/>
                <w:b/>
                <w:i/>
              </w:rPr>
              <w:t>Scope</w:t>
            </w:r>
          </w:p>
        </w:tc>
      </w:tr>
    </w:tbl>
    <w:p w14:paraId="1FC83DE0" w14:textId="77777777" w:rsidR="006979D0" w:rsidRPr="00F7089A" w:rsidRDefault="004E4217" w:rsidP="00967414">
      <w:pPr>
        <w:spacing w:after="120"/>
      </w:pPr>
      <w:r>
        <w:t>This SOP applies to general supplies of office type equipment and supplies associated with the delivery of training and education. It does not apply to any medical device or clinical equipment requests which must follow the separate SOP.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2571D493" w14:textId="77777777" w:rsidTr="00B83421">
        <w:tc>
          <w:tcPr>
            <w:tcW w:w="9493" w:type="dxa"/>
            <w:shd w:val="clear" w:color="auto" w:fill="E6E6E6"/>
          </w:tcPr>
          <w:p w14:paraId="5FFA6E9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3F8CD2E3" w14:textId="2CE540DC" w:rsidR="004E4217" w:rsidRDefault="004E4217" w:rsidP="00967414">
      <w:r>
        <w:t>Requests for the following will be made v</w:t>
      </w:r>
      <w:r w:rsidR="002C44A4">
        <w:t xml:space="preserve">ia FNHC Stores </w:t>
      </w:r>
      <w:r>
        <w:t>for the sourcing and ordering of:</w:t>
      </w:r>
    </w:p>
    <w:p w14:paraId="18831D5E" w14:textId="54CEDEFD" w:rsidR="004E4217" w:rsidRDefault="00967414" w:rsidP="00967414">
      <w:pPr>
        <w:pStyle w:val="ListParagraph"/>
        <w:numPr>
          <w:ilvl w:val="0"/>
          <w:numId w:val="13"/>
        </w:numPr>
        <w:ind w:left="714" w:hanging="357"/>
        <w:contextualSpacing w:val="0"/>
      </w:pPr>
      <w:r>
        <w:t>d</w:t>
      </w:r>
      <w:r w:rsidR="004E4217">
        <w:t>ry goods</w:t>
      </w:r>
    </w:p>
    <w:p w14:paraId="790A5CE3" w14:textId="770FC5BB" w:rsidR="004E4217" w:rsidRDefault="00967414" w:rsidP="00967414">
      <w:pPr>
        <w:pStyle w:val="ListParagraph"/>
        <w:numPr>
          <w:ilvl w:val="0"/>
          <w:numId w:val="13"/>
        </w:numPr>
        <w:ind w:left="714" w:hanging="357"/>
        <w:contextualSpacing w:val="0"/>
      </w:pPr>
      <w:r>
        <w:t>f</w:t>
      </w:r>
      <w:r w:rsidR="004E4217">
        <w:t>resh fruit</w:t>
      </w:r>
    </w:p>
    <w:p w14:paraId="1D9A6415" w14:textId="2917BDD4" w:rsidR="004E4217" w:rsidRDefault="00967414" w:rsidP="00967414">
      <w:pPr>
        <w:pStyle w:val="ListParagraph"/>
        <w:numPr>
          <w:ilvl w:val="0"/>
          <w:numId w:val="13"/>
        </w:numPr>
        <w:ind w:left="714" w:hanging="357"/>
        <w:contextualSpacing w:val="0"/>
      </w:pPr>
      <w:r>
        <w:t>o</w:t>
      </w:r>
      <w:r w:rsidR="004E4217">
        <w:t>ffice supplies</w:t>
      </w:r>
    </w:p>
    <w:p w14:paraId="46FE3798" w14:textId="63B37461" w:rsidR="00314724" w:rsidRPr="004E4217" w:rsidRDefault="00967414" w:rsidP="00967414">
      <w:pPr>
        <w:pStyle w:val="ListParagraph"/>
        <w:numPr>
          <w:ilvl w:val="0"/>
          <w:numId w:val="13"/>
        </w:numPr>
        <w:ind w:left="714" w:hanging="357"/>
        <w:contextualSpacing w:val="0"/>
      </w:pPr>
      <w:r>
        <w:t>s</w:t>
      </w:r>
      <w:r w:rsidR="00314724">
        <w:t>tationary</w:t>
      </w:r>
    </w:p>
    <w:p w14:paraId="461731D9" w14:textId="3F448557" w:rsidR="00BE1EF3" w:rsidRDefault="004E4217" w:rsidP="00967414">
      <w:pPr>
        <w:rPr>
          <w:rFonts w:cs="Arial"/>
          <w:szCs w:val="22"/>
        </w:rPr>
      </w:pPr>
      <w:r w:rsidRPr="004E4217">
        <w:rPr>
          <w:rFonts w:cs="Arial"/>
          <w:szCs w:val="22"/>
        </w:rPr>
        <w:t xml:space="preserve">Where lunch is provided for course attendees, sandwiches will be ordered through a local catering </w:t>
      </w:r>
      <w:proofErr w:type="gramStart"/>
      <w:r w:rsidRPr="004E4217">
        <w:rPr>
          <w:rFonts w:cs="Arial"/>
          <w:szCs w:val="22"/>
        </w:rPr>
        <w:t>company</w:t>
      </w:r>
      <w:proofErr w:type="gramEnd"/>
      <w:r w:rsidRPr="004E4217">
        <w:rPr>
          <w:rFonts w:cs="Arial"/>
          <w:szCs w:val="22"/>
        </w:rPr>
        <w:t xml:space="preserve"> and an invoice will be requested for payment (the cost of refreshments/lunch is factored into course costs agreed March 2024)</w:t>
      </w:r>
      <w:r w:rsidR="009214E5">
        <w:rPr>
          <w:rFonts w:cs="Arial"/>
          <w:szCs w:val="22"/>
        </w:rPr>
        <w:t>.</w:t>
      </w:r>
    </w:p>
    <w:p w14:paraId="39A547AE" w14:textId="77777777" w:rsidR="00967414" w:rsidRPr="00967414" w:rsidRDefault="00967414" w:rsidP="00967414">
      <w:pPr>
        <w:rPr>
          <w:rFonts w:cs="Arial"/>
          <w:szCs w:val="22"/>
        </w:rPr>
      </w:pPr>
    </w:p>
    <w:sectPr w:rsidR="00967414" w:rsidRPr="00967414"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3BF6" w14:textId="77777777" w:rsidR="00291B32" w:rsidRDefault="00291B32">
      <w:r>
        <w:separator/>
      </w:r>
    </w:p>
  </w:endnote>
  <w:endnote w:type="continuationSeparator" w:id="0">
    <w:p w14:paraId="2B9412AB" w14:textId="77777777" w:rsidR="00291B32" w:rsidRDefault="00291B32">
      <w:r>
        <w:continuationSeparator/>
      </w:r>
    </w:p>
  </w:endnote>
  <w:endnote w:type="continuationNotice" w:id="1">
    <w:p w14:paraId="2132AE22" w14:textId="77777777" w:rsidR="00291B32" w:rsidRDefault="00291B3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251C" w14:textId="1D33418B"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EB426C">
      <w:rPr>
        <w:rFonts w:cs="Arial"/>
        <w:b/>
        <w:bCs/>
        <w:noProof/>
        <w:sz w:val="16"/>
        <w:szCs w:val="16"/>
      </w:rPr>
      <w:t>9</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EB426C">
      <w:rPr>
        <w:rFonts w:cs="Arial"/>
        <w:b/>
        <w:bCs/>
        <w:noProof/>
        <w:sz w:val="16"/>
        <w:szCs w:val="16"/>
      </w:rPr>
      <w:t>13</w:t>
    </w:r>
    <w:r w:rsidRPr="0048177D">
      <w:rPr>
        <w:rFonts w:cs="Arial"/>
        <w:b/>
        <w:bCs/>
        <w:sz w:val="16"/>
        <w:szCs w:val="16"/>
      </w:rPr>
      <w:fldChar w:fldCharType="end"/>
    </w:r>
  </w:p>
  <w:p w14:paraId="5BAE4C4E"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0E4C"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75B2" w14:textId="77777777" w:rsidR="00291B32" w:rsidRDefault="00291B32">
      <w:r>
        <w:separator/>
      </w:r>
    </w:p>
  </w:footnote>
  <w:footnote w:type="continuationSeparator" w:id="0">
    <w:p w14:paraId="448C6F18" w14:textId="77777777" w:rsidR="00291B32" w:rsidRDefault="00291B32">
      <w:r>
        <w:continuationSeparator/>
      </w:r>
    </w:p>
  </w:footnote>
  <w:footnote w:type="continuationNotice" w:id="1">
    <w:p w14:paraId="32F0089B" w14:textId="77777777" w:rsidR="00291B32" w:rsidRDefault="00291B3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BD73"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9CED" w14:textId="3836CBBF"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34CC4F68" wp14:editId="1D0F2086">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217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5AD6"/>
    <w:multiLevelType w:val="hybridMultilevel"/>
    <w:tmpl w:val="19C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50A0A"/>
    <w:multiLevelType w:val="hybridMultilevel"/>
    <w:tmpl w:val="27DC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74E02"/>
    <w:multiLevelType w:val="hybridMultilevel"/>
    <w:tmpl w:val="BAA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05D20"/>
    <w:multiLevelType w:val="hybridMultilevel"/>
    <w:tmpl w:val="B54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97C30"/>
    <w:multiLevelType w:val="hybridMultilevel"/>
    <w:tmpl w:val="15DC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573AA"/>
    <w:multiLevelType w:val="hybridMultilevel"/>
    <w:tmpl w:val="FAB8F668"/>
    <w:lvl w:ilvl="0" w:tplc="F02C893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C186D"/>
    <w:multiLevelType w:val="hybridMultilevel"/>
    <w:tmpl w:val="8790049C"/>
    <w:lvl w:ilvl="0" w:tplc="F02C893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C33F4"/>
    <w:multiLevelType w:val="hybridMultilevel"/>
    <w:tmpl w:val="906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306C6"/>
    <w:multiLevelType w:val="hybridMultilevel"/>
    <w:tmpl w:val="F1304F86"/>
    <w:lvl w:ilvl="0" w:tplc="F02C893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5A717F"/>
    <w:multiLevelType w:val="hybridMultilevel"/>
    <w:tmpl w:val="AC5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91AE8"/>
    <w:multiLevelType w:val="hybridMultilevel"/>
    <w:tmpl w:val="E95C3056"/>
    <w:lvl w:ilvl="0" w:tplc="F02C893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71299C"/>
    <w:multiLevelType w:val="hybridMultilevel"/>
    <w:tmpl w:val="03CA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665807">
    <w:abstractNumId w:val="8"/>
  </w:num>
  <w:num w:numId="2" w16cid:durableId="1942032955">
    <w:abstractNumId w:val="10"/>
  </w:num>
  <w:num w:numId="3" w16cid:durableId="185600160">
    <w:abstractNumId w:val="4"/>
  </w:num>
  <w:num w:numId="4" w16cid:durableId="1549417883">
    <w:abstractNumId w:val="7"/>
  </w:num>
  <w:num w:numId="5" w16cid:durableId="250431433">
    <w:abstractNumId w:val="2"/>
  </w:num>
  <w:num w:numId="6" w16cid:durableId="1512835589">
    <w:abstractNumId w:val="9"/>
  </w:num>
  <w:num w:numId="7" w16cid:durableId="838037579">
    <w:abstractNumId w:val="11"/>
  </w:num>
  <w:num w:numId="8" w16cid:durableId="1622415827">
    <w:abstractNumId w:val="5"/>
  </w:num>
  <w:num w:numId="9" w16cid:durableId="537010951">
    <w:abstractNumId w:val="6"/>
  </w:num>
  <w:num w:numId="10" w16cid:durableId="944506799">
    <w:abstractNumId w:val="1"/>
  </w:num>
  <w:num w:numId="11" w16cid:durableId="1134912909">
    <w:abstractNumId w:val="3"/>
  </w:num>
  <w:num w:numId="12" w16cid:durableId="1175341166">
    <w:abstractNumId w:val="12"/>
  </w:num>
  <w:num w:numId="13" w16cid:durableId="184929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21A60"/>
    <w:rsid w:val="00034456"/>
    <w:rsid w:val="00036244"/>
    <w:rsid w:val="000839E0"/>
    <w:rsid w:val="00093DCF"/>
    <w:rsid w:val="000B1C8E"/>
    <w:rsid w:val="000C163A"/>
    <w:rsid w:val="000C55B9"/>
    <w:rsid w:val="000E29E3"/>
    <w:rsid w:val="00101261"/>
    <w:rsid w:val="00112369"/>
    <w:rsid w:val="00112EC8"/>
    <w:rsid w:val="00121ECB"/>
    <w:rsid w:val="001222B9"/>
    <w:rsid w:val="001270A9"/>
    <w:rsid w:val="001410B2"/>
    <w:rsid w:val="001411FD"/>
    <w:rsid w:val="00151228"/>
    <w:rsid w:val="00152714"/>
    <w:rsid w:val="00157A6D"/>
    <w:rsid w:val="0017733A"/>
    <w:rsid w:val="0017797C"/>
    <w:rsid w:val="001976A9"/>
    <w:rsid w:val="001A38E1"/>
    <w:rsid w:val="001C5BD3"/>
    <w:rsid w:val="001D4AF4"/>
    <w:rsid w:val="001D68FE"/>
    <w:rsid w:val="001F4480"/>
    <w:rsid w:val="001F6D8B"/>
    <w:rsid w:val="00205B30"/>
    <w:rsid w:val="00217B6B"/>
    <w:rsid w:val="002210A2"/>
    <w:rsid w:val="00224D60"/>
    <w:rsid w:val="00261BBC"/>
    <w:rsid w:val="00274105"/>
    <w:rsid w:val="0027738E"/>
    <w:rsid w:val="00291B32"/>
    <w:rsid w:val="00295F59"/>
    <w:rsid w:val="002B4730"/>
    <w:rsid w:val="002B6234"/>
    <w:rsid w:val="002B685A"/>
    <w:rsid w:val="002C44A4"/>
    <w:rsid w:val="003051AB"/>
    <w:rsid w:val="00314724"/>
    <w:rsid w:val="0034546E"/>
    <w:rsid w:val="00350409"/>
    <w:rsid w:val="00351A62"/>
    <w:rsid w:val="003520A6"/>
    <w:rsid w:val="003758BF"/>
    <w:rsid w:val="003D67F5"/>
    <w:rsid w:val="003E12B5"/>
    <w:rsid w:val="003E3B6F"/>
    <w:rsid w:val="003E5803"/>
    <w:rsid w:val="00406CFC"/>
    <w:rsid w:val="00407A98"/>
    <w:rsid w:val="00431FF6"/>
    <w:rsid w:val="00447002"/>
    <w:rsid w:val="00452BDD"/>
    <w:rsid w:val="0045385C"/>
    <w:rsid w:val="0045546A"/>
    <w:rsid w:val="004622A8"/>
    <w:rsid w:val="0046274B"/>
    <w:rsid w:val="00495EF6"/>
    <w:rsid w:val="004A060F"/>
    <w:rsid w:val="004B4061"/>
    <w:rsid w:val="004B6D1C"/>
    <w:rsid w:val="004B785F"/>
    <w:rsid w:val="004E4217"/>
    <w:rsid w:val="004F47FC"/>
    <w:rsid w:val="00514100"/>
    <w:rsid w:val="00516E0C"/>
    <w:rsid w:val="005214C7"/>
    <w:rsid w:val="005230C3"/>
    <w:rsid w:val="00532B3B"/>
    <w:rsid w:val="00542BFE"/>
    <w:rsid w:val="00546034"/>
    <w:rsid w:val="00554E59"/>
    <w:rsid w:val="005661CA"/>
    <w:rsid w:val="00581968"/>
    <w:rsid w:val="005B1EFC"/>
    <w:rsid w:val="005F7F67"/>
    <w:rsid w:val="00614CD2"/>
    <w:rsid w:val="00620878"/>
    <w:rsid w:val="00644D9D"/>
    <w:rsid w:val="0065247B"/>
    <w:rsid w:val="006532D0"/>
    <w:rsid w:val="00660B94"/>
    <w:rsid w:val="00666802"/>
    <w:rsid w:val="006715C2"/>
    <w:rsid w:val="00673C6F"/>
    <w:rsid w:val="00674F8C"/>
    <w:rsid w:val="00692D77"/>
    <w:rsid w:val="006979D0"/>
    <w:rsid w:val="006B0E38"/>
    <w:rsid w:val="006F257A"/>
    <w:rsid w:val="00707D56"/>
    <w:rsid w:val="0071512A"/>
    <w:rsid w:val="00716280"/>
    <w:rsid w:val="00717377"/>
    <w:rsid w:val="00722790"/>
    <w:rsid w:val="00723F76"/>
    <w:rsid w:val="0076718D"/>
    <w:rsid w:val="007D7AF3"/>
    <w:rsid w:val="00803C8D"/>
    <w:rsid w:val="00813809"/>
    <w:rsid w:val="0082438D"/>
    <w:rsid w:val="00875555"/>
    <w:rsid w:val="008A2A20"/>
    <w:rsid w:val="008B38C4"/>
    <w:rsid w:val="00914785"/>
    <w:rsid w:val="00916276"/>
    <w:rsid w:val="009214E5"/>
    <w:rsid w:val="00930A7C"/>
    <w:rsid w:val="00931017"/>
    <w:rsid w:val="0093169B"/>
    <w:rsid w:val="0096438B"/>
    <w:rsid w:val="00967414"/>
    <w:rsid w:val="00971E3F"/>
    <w:rsid w:val="0099676B"/>
    <w:rsid w:val="009A1242"/>
    <w:rsid w:val="009B2BAA"/>
    <w:rsid w:val="00A219D7"/>
    <w:rsid w:val="00A2581D"/>
    <w:rsid w:val="00A6365C"/>
    <w:rsid w:val="00A9607C"/>
    <w:rsid w:val="00A96788"/>
    <w:rsid w:val="00AB3D94"/>
    <w:rsid w:val="00AC1ED1"/>
    <w:rsid w:val="00AC5421"/>
    <w:rsid w:val="00AD338E"/>
    <w:rsid w:val="00B00F22"/>
    <w:rsid w:val="00B2181C"/>
    <w:rsid w:val="00B239DD"/>
    <w:rsid w:val="00B80104"/>
    <w:rsid w:val="00B83421"/>
    <w:rsid w:val="00B862F4"/>
    <w:rsid w:val="00BC6799"/>
    <w:rsid w:val="00BE1EF3"/>
    <w:rsid w:val="00BE7C89"/>
    <w:rsid w:val="00C11D1B"/>
    <w:rsid w:val="00C15217"/>
    <w:rsid w:val="00C5754A"/>
    <w:rsid w:val="00C676A7"/>
    <w:rsid w:val="00CB2CF9"/>
    <w:rsid w:val="00D218D6"/>
    <w:rsid w:val="00D44850"/>
    <w:rsid w:val="00D507A2"/>
    <w:rsid w:val="00D57B06"/>
    <w:rsid w:val="00D9158A"/>
    <w:rsid w:val="00D95195"/>
    <w:rsid w:val="00DA54D2"/>
    <w:rsid w:val="00DA7EEE"/>
    <w:rsid w:val="00DB66D7"/>
    <w:rsid w:val="00DE1120"/>
    <w:rsid w:val="00DE6C0B"/>
    <w:rsid w:val="00E130D7"/>
    <w:rsid w:val="00E407CE"/>
    <w:rsid w:val="00E64679"/>
    <w:rsid w:val="00E852E8"/>
    <w:rsid w:val="00E93D97"/>
    <w:rsid w:val="00EA64DE"/>
    <w:rsid w:val="00EB426C"/>
    <w:rsid w:val="00EB4EEE"/>
    <w:rsid w:val="00EC23D6"/>
    <w:rsid w:val="00ED16EC"/>
    <w:rsid w:val="00F213DA"/>
    <w:rsid w:val="00F26D75"/>
    <w:rsid w:val="00F36F95"/>
    <w:rsid w:val="00F40484"/>
    <w:rsid w:val="00F43CEF"/>
    <w:rsid w:val="00F65DF1"/>
    <w:rsid w:val="00F7089A"/>
    <w:rsid w:val="00F7175C"/>
    <w:rsid w:val="00F946A1"/>
    <w:rsid w:val="00FA099F"/>
    <w:rsid w:val="00FA7097"/>
    <w:rsid w:val="00FB70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2B99"/>
  <w15:chartTrackingRefBased/>
  <w15:docId w15:val="{D0AA2B93-970D-49E0-A828-8503008C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CommentSubject">
    <w:name w:val="annotation subject"/>
    <w:basedOn w:val="CommentText"/>
    <w:next w:val="CommentText"/>
    <w:link w:val="CommentSubjectChar"/>
    <w:rsid w:val="003758BF"/>
    <w:pPr>
      <w:spacing w:line="240" w:lineRule="auto"/>
    </w:pPr>
    <w:rPr>
      <w:b/>
      <w:bCs/>
    </w:rPr>
  </w:style>
  <w:style w:type="character" w:customStyle="1" w:styleId="CommentSubjectChar">
    <w:name w:val="Comment Subject Char"/>
    <w:basedOn w:val="CommentTextChar"/>
    <w:link w:val="CommentSubject"/>
    <w:rsid w:val="003758BF"/>
    <w:rPr>
      <w:rFonts w:ascii="Arial" w:hAnsi="Arial"/>
      <w:b/>
      <w:bCs/>
    </w:rPr>
  </w:style>
  <w:style w:type="paragraph" w:styleId="ListParagraph">
    <w:name w:val="List Paragraph"/>
    <w:basedOn w:val="Normal"/>
    <w:uiPriority w:val="34"/>
    <w:qFormat/>
    <w:rsid w:val="001270A9"/>
    <w:pPr>
      <w:ind w:left="720"/>
      <w:contextualSpacing/>
    </w:pPr>
  </w:style>
  <w:style w:type="paragraph" w:styleId="Revision">
    <w:name w:val="Revision"/>
    <w:hidden/>
    <w:uiPriority w:val="99"/>
    <w:semiHidden/>
    <w:rsid w:val="0054603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7BE7-2A8E-40A0-AA14-7AACE0492C9B}">
  <ds:schemaRefs>
    <ds:schemaRef ds:uri="http://schemas.microsoft.com/office/2006/documentManagement/types"/>
    <ds:schemaRef ds:uri="http://schemas.microsoft.com/office/2006/metadata/properties"/>
    <ds:schemaRef ds:uri="http://purl.org/dc/terms/"/>
    <ds:schemaRef ds:uri="bb47b9b4-3c1d-49f2-936e-a74394817770"/>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593D0AD-BBB0-4BC3-AA7C-4440CA338CC7}">
  <ds:schemaRefs>
    <ds:schemaRef ds:uri="http://schemas.microsoft.com/sharepoint/v3/contenttype/forms"/>
  </ds:schemaRefs>
</ds:datastoreItem>
</file>

<file path=customXml/itemProps3.xml><?xml version="1.0" encoding="utf-8"?>
<ds:datastoreItem xmlns:ds="http://schemas.openxmlformats.org/officeDocument/2006/customXml" ds:itemID="{075644A7-EF15-4716-B658-A572C32E7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36896-2FF9-4081-80B7-A918EB0A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912</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3</cp:revision>
  <cp:lastPrinted>2024-01-16T03:20:00Z</cp:lastPrinted>
  <dcterms:created xsi:type="dcterms:W3CDTF">2025-05-07T13:21:00Z</dcterms:created>
  <dcterms:modified xsi:type="dcterms:W3CDTF">2025-05-07T13:27:00Z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400000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