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3F18D361" w14:textId="3671FF4A" w:rsidR="00796F5C" w:rsidRDefault="00796F5C"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51DFD05D">
                <wp:simplePos x="0" y="0"/>
                <wp:positionH relativeFrom="column">
                  <wp:posOffset>0</wp:posOffset>
                </wp:positionH>
                <wp:positionV relativeFrom="paragraph">
                  <wp:posOffset>153669</wp:posOffset>
                </wp:positionV>
                <wp:extent cx="5486400" cy="35337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33775"/>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0518F15E" w:rsidR="005351FA" w:rsidRDefault="00547320" w:rsidP="005351FA">
                            <w:pPr>
                              <w:jc w:val="center"/>
                              <w:rPr>
                                <w:rFonts w:cs="Arial"/>
                                <w:b/>
                                <w:sz w:val="52"/>
                                <w:szCs w:val="52"/>
                              </w:rPr>
                            </w:pPr>
                            <w:r>
                              <w:rPr>
                                <w:rFonts w:cs="Arial"/>
                                <w:b/>
                                <w:sz w:val="52"/>
                                <w:szCs w:val="52"/>
                              </w:rPr>
                              <w:t>Management of Staff with Infection or Exposure to Infection Policy</w:t>
                            </w:r>
                          </w:p>
                          <w:p w14:paraId="60DEEB20" w14:textId="77777777" w:rsidR="00681B9D" w:rsidRDefault="00681B9D" w:rsidP="005351FA">
                            <w:pPr>
                              <w:jc w:val="center"/>
                              <w:rPr>
                                <w:rFonts w:cs="Arial"/>
                                <w:b/>
                                <w:sz w:val="52"/>
                                <w:szCs w:val="52"/>
                              </w:rPr>
                            </w:pPr>
                          </w:p>
                          <w:p w14:paraId="081AA8EE" w14:textId="1030FDEC" w:rsidR="00681B9D" w:rsidRDefault="00681B9D" w:rsidP="005351FA">
                            <w:pPr>
                              <w:jc w:val="center"/>
                              <w:rPr>
                                <w:rFonts w:cs="Arial"/>
                                <w:b/>
                                <w:sz w:val="52"/>
                                <w:szCs w:val="52"/>
                              </w:rPr>
                            </w:pPr>
                            <w:r>
                              <w:rPr>
                                <w:rFonts w:cs="Arial"/>
                                <w:b/>
                                <w:sz w:val="52"/>
                                <w:szCs w:val="52"/>
                              </w:rPr>
                              <w:t>June 2025</w:t>
                            </w:r>
                          </w:p>
                          <w:p w14:paraId="46D4509E" w14:textId="77777777" w:rsidR="0048177D" w:rsidRDefault="0048177D" w:rsidP="005351FA">
                            <w:pPr>
                              <w:jc w:val="center"/>
                              <w:rPr>
                                <w:rFonts w:cs="Arial"/>
                                <w:b/>
                                <w:sz w:val="52"/>
                                <w:szCs w:val="52"/>
                              </w:rPr>
                            </w:pPr>
                          </w:p>
                          <w:p w14:paraId="5A259570" w14:textId="77777777" w:rsidR="0048177D" w:rsidRPr="0048177D" w:rsidRDefault="0048177D" w:rsidP="005351FA">
                            <w:pPr>
                              <w:jc w:val="center"/>
                              <w:rPr>
                                <w:rFonts w:cs="Arial"/>
                                <w:b/>
                                <w:sz w:val="44"/>
                                <w:szCs w:val="52"/>
                              </w:rPr>
                            </w:pPr>
                            <w:r>
                              <w:rPr>
                                <w:rFonts w:cs="Arial"/>
                                <w:b/>
                                <w:sz w:val="44"/>
                                <w:szCs w:val="52"/>
                              </w:rPr>
                              <w:t>Date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1pt;width:6in;height:2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qPFwIAACwEAAAOAAAAZHJzL2Uyb0RvYy54bWysU9uO2yAQfa/Uf0C8N3Yu3s1acVbbbFNV&#10;2l6kbT8AY2yjYoYCiZ1+fQfszaa3l6o8IIYZzsycOWxuh06Ro7BOgi7ofJZSIjSHSuqmoF8+71+t&#10;KXGe6Yop0KKgJ+Ho7fbli01vcrGAFlQlLEEQ7fLeFLT13uRJ4ngrOuZmYIRGZw22Yx5N2ySVZT2i&#10;dypZpOlV0oOtjAUunMPb+9FJtxG/rgX3H+vaCU9UQbE2H3cb9zLsyXbD8sYy00o+lcH+oYqOSY1J&#10;z1D3zDNysPI3qE5yCw5qP+PQJVDXkovYA3YzT3/p5rFlRsRekBxnzjS5/wfLPxwfzSdL/PAaBhxg&#10;bMKZB+BfHdGwa5luxJ210LeCVZh4HihLeuPy6Wmg2uUugJT9e6hwyOzgIQINte0CK9gnQXQcwOlM&#10;uhg84XiZrdZXqxRdHH3LbLm8vs5iDpY/PTfW+bcCOhIOBbU41QjPjg/Oh3JY/hQSsjlQstpLpaJh&#10;m3KnLDkyVMA+rgn9pzClSV/Qm2yRjQz8FSKN608QnfQoZSW7gq7PQSwPvL3RVRSaZ1KNZyxZ6YnI&#10;wN3Ioh/KAQMDoSVUJ6TUwihZ/GJ4aMF+p6RHuRbUfTswKyhR7zSO5Wa+WgV9R2OVXS/QsJee8tLD&#10;NEeognpKxuPOj3/iYKxsWsw0CkHDHY6ylpHk56qmulGSkfvp+wTNX9ox6vmTb38AAAD//wMAUEsD&#10;BBQABgAIAAAAIQDf0d/K3gAAAAcBAAAPAAAAZHJzL2Rvd25yZXYueG1sTI/BTsMwEETvSPyDtUhc&#10;EHUIIQ0hToWQQHCDtoKrG2+TiHgdbDcNf89yguPOjGbeVqvZDmJCH3pHCq4WCQikxpmeWgXbzeNl&#10;ASJETUYPjlDBNwZY1acnlS6NO9IbTuvYCi6hUGoFXYxjKWVoOrQ6LNyIxN7eeasjn76Vxusjl9tB&#10;pkmSS6t74oVOj/jQYfO5PlgFRfY8fYSX69f3Jt8Pt/FiOT19eaXOz+b7OxAR5/gXhl98RoeamXbu&#10;QCaIQQE/EhWkWQqC3SLPWNgpuCmSJci6kv/56x8AAAD//wMAUEsBAi0AFAAGAAgAAAAhALaDOJL+&#10;AAAA4QEAABMAAAAAAAAAAAAAAAAAAAAAAFtDb250ZW50X1R5cGVzXS54bWxQSwECLQAUAAYACAAA&#10;ACEAOP0h/9YAAACUAQAACwAAAAAAAAAAAAAAAAAvAQAAX3JlbHMvLnJlbHNQSwECLQAUAAYACAAA&#10;ACEAw1Z6jxcCAAAsBAAADgAAAAAAAAAAAAAAAAAuAgAAZHJzL2Uyb0RvYy54bWxQSwECLQAUAAYA&#10;CAAAACEA39Hfyt4AAAAHAQAADwAAAAAAAAAAAAAAAABxBAAAZHJzL2Rvd25yZXYueG1sUEsFBgAA&#10;AAAEAAQA8wAAAHwFAAAAAA==&#10;">
                <v:textbox>
                  <w:txbxContent>
                    <w:p w14:paraId="3B83117B" w14:textId="77777777" w:rsidR="005351FA" w:rsidRDefault="005351FA" w:rsidP="005351FA">
                      <w:pPr>
                        <w:jc w:val="center"/>
                        <w:rPr>
                          <w:rFonts w:cs="Arial"/>
                          <w:b/>
                          <w:sz w:val="40"/>
                          <w:szCs w:val="40"/>
                        </w:rPr>
                      </w:pPr>
                    </w:p>
                    <w:p w14:paraId="2E4276CD" w14:textId="0518F15E" w:rsidR="005351FA" w:rsidRDefault="00547320" w:rsidP="005351FA">
                      <w:pPr>
                        <w:jc w:val="center"/>
                        <w:rPr>
                          <w:rFonts w:cs="Arial"/>
                          <w:b/>
                          <w:sz w:val="52"/>
                          <w:szCs w:val="52"/>
                        </w:rPr>
                      </w:pPr>
                      <w:r>
                        <w:rPr>
                          <w:rFonts w:cs="Arial"/>
                          <w:b/>
                          <w:sz w:val="52"/>
                          <w:szCs w:val="52"/>
                        </w:rPr>
                        <w:t>Management of Staff with Infection or Exposure to Infection Policy</w:t>
                      </w:r>
                    </w:p>
                    <w:p w14:paraId="60DEEB20" w14:textId="77777777" w:rsidR="00681B9D" w:rsidRDefault="00681B9D" w:rsidP="005351FA">
                      <w:pPr>
                        <w:jc w:val="center"/>
                        <w:rPr>
                          <w:rFonts w:cs="Arial"/>
                          <w:b/>
                          <w:sz w:val="52"/>
                          <w:szCs w:val="52"/>
                        </w:rPr>
                      </w:pPr>
                    </w:p>
                    <w:p w14:paraId="081AA8EE" w14:textId="1030FDEC" w:rsidR="00681B9D" w:rsidRDefault="00681B9D" w:rsidP="005351FA">
                      <w:pPr>
                        <w:jc w:val="center"/>
                        <w:rPr>
                          <w:rFonts w:cs="Arial"/>
                          <w:b/>
                          <w:sz w:val="52"/>
                          <w:szCs w:val="52"/>
                        </w:rPr>
                      </w:pPr>
                      <w:r>
                        <w:rPr>
                          <w:rFonts w:cs="Arial"/>
                          <w:b/>
                          <w:sz w:val="52"/>
                          <w:szCs w:val="52"/>
                        </w:rPr>
                        <w:t>June 2025</w:t>
                      </w:r>
                    </w:p>
                    <w:p w14:paraId="46D4509E" w14:textId="77777777" w:rsidR="0048177D" w:rsidRDefault="0048177D" w:rsidP="005351FA">
                      <w:pPr>
                        <w:jc w:val="center"/>
                        <w:rPr>
                          <w:rFonts w:cs="Arial"/>
                          <w:b/>
                          <w:sz w:val="52"/>
                          <w:szCs w:val="52"/>
                        </w:rPr>
                      </w:pPr>
                    </w:p>
                    <w:p w14:paraId="5A259570" w14:textId="77777777" w:rsidR="0048177D" w:rsidRPr="0048177D" w:rsidRDefault="0048177D" w:rsidP="005351FA">
                      <w:pPr>
                        <w:jc w:val="center"/>
                        <w:rPr>
                          <w:rFonts w:cs="Arial"/>
                          <w:b/>
                          <w:sz w:val="44"/>
                          <w:szCs w:val="52"/>
                        </w:rPr>
                      </w:pPr>
                      <w:r>
                        <w:rPr>
                          <w:rFonts w:cs="Arial"/>
                          <w:b/>
                          <w:sz w:val="44"/>
                          <w:szCs w:val="52"/>
                        </w:rPr>
                        <w:t>Date Approved</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7D0A13F5" w:rsidR="005351FA" w:rsidRPr="00856DE7" w:rsidRDefault="00681B9D" w:rsidP="007C66C9">
            <w:pPr>
              <w:spacing w:before="60" w:after="60"/>
              <w:jc w:val="left"/>
              <w:rPr>
                <w:rFonts w:cs="Arial"/>
                <w:szCs w:val="22"/>
              </w:rPr>
            </w:pPr>
            <w:r w:rsidRPr="00681B9D">
              <w:rPr>
                <w:rFonts w:cs="Arial"/>
                <w:szCs w:val="22"/>
              </w:rPr>
              <w:t>Management of Staff with Infection or Exposure to Infection Policy</w:t>
            </w:r>
          </w:p>
        </w:tc>
      </w:tr>
      <w:tr w:rsidR="005351FA" w:rsidRPr="00856DE7" w14:paraId="7AAE2636" w14:textId="77777777" w:rsidTr="007C66C9">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70FB018A" w:rsidR="00101BBD" w:rsidRPr="00856DE7" w:rsidRDefault="00681B9D" w:rsidP="007C66C9">
            <w:pPr>
              <w:spacing w:before="60" w:after="60"/>
              <w:jc w:val="left"/>
              <w:rPr>
                <w:rFonts w:cs="Arial"/>
                <w:szCs w:val="22"/>
              </w:rPr>
            </w:pPr>
            <w:r>
              <w:rPr>
                <w:rFonts w:cs="Arial"/>
                <w:szCs w:val="22"/>
              </w:rPr>
              <w:t>Rachel Foster – Quality and Performance Development Nurse</w:t>
            </w:r>
          </w:p>
        </w:tc>
      </w:tr>
      <w:tr w:rsidR="005351FA" w:rsidRPr="00856DE7" w14:paraId="0C097324" w14:textId="77777777" w:rsidTr="00DE0B38">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2B62D23C" w:rsidR="00101BBD" w:rsidRPr="00856DE7" w:rsidRDefault="00681B9D" w:rsidP="00DE0B38">
            <w:pPr>
              <w:spacing w:before="60" w:after="60"/>
              <w:jc w:val="center"/>
              <w:rPr>
                <w:rFonts w:cs="Arial"/>
                <w:szCs w:val="22"/>
              </w:rPr>
            </w:pPr>
            <w:r>
              <w:rPr>
                <w:rFonts w:cs="Arial"/>
                <w:szCs w:val="22"/>
              </w:rPr>
              <w:t>Human Resources</w:t>
            </w:r>
          </w:p>
        </w:tc>
      </w:tr>
      <w:tr w:rsidR="00615D2B" w:rsidRPr="00856DE7" w14:paraId="604B3626" w14:textId="77777777" w:rsidTr="00DE0B38">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14:paraId="5B54D3B9" w14:textId="0474868B" w:rsidR="00615D2B" w:rsidRPr="00856DE7" w:rsidRDefault="00D6168A" w:rsidP="00DE0B38">
            <w:pPr>
              <w:spacing w:before="60" w:after="60"/>
              <w:jc w:val="center"/>
              <w:rPr>
                <w:rFonts w:cs="Arial"/>
                <w:szCs w:val="22"/>
              </w:rPr>
            </w:pPr>
            <w:r>
              <w:rPr>
                <w:rFonts w:cs="Arial"/>
                <w:szCs w:val="22"/>
              </w:rPr>
              <w:t>4/06/2025</w:t>
            </w:r>
          </w:p>
        </w:tc>
      </w:tr>
      <w:tr w:rsidR="00615D2B" w:rsidRPr="00856DE7" w14:paraId="3962734B" w14:textId="77777777" w:rsidTr="00DE0B38">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550EA2B9" w:rsidR="00615D2B" w:rsidRPr="00856DE7" w:rsidRDefault="0094047A" w:rsidP="00DE0B38">
            <w:pPr>
              <w:spacing w:before="60" w:after="60"/>
              <w:jc w:val="center"/>
              <w:rPr>
                <w:rFonts w:cs="Arial"/>
                <w:szCs w:val="22"/>
              </w:rPr>
            </w:pPr>
            <w:r>
              <w:rPr>
                <w:rFonts w:cs="Arial"/>
                <w:szCs w:val="22"/>
              </w:rPr>
              <w:t>5/06/2025</w:t>
            </w:r>
          </w:p>
        </w:tc>
      </w:tr>
      <w:tr w:rsidR="00615D2B" w:rsidRPr="00856DE7" w14:paraId="6A5A6B62" w14:textId="77777777" w:rsidTr="001961E4">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3528D40B" w:rsidR="00615D2B" w:rsidRPr="00856DE7" w:rsidRDefault="00615D2B" w:rsidP="00615D2B">
            <w:pPr>
              <w:spacing w:before="60" w:after="60"/>
              <w:rPr>
                <w:rFonts w:cs="Arial"/>
                <w:szCs w:val="22"/>
              </w:rPr>
            </w:pPr>
            <w:r w:rsidRPr="00681B9D">
              <w:rPr>
                <w:rFonts w:cs="Arial"/>
                <w:szCs w:val="22"/>
              </w:rPr>
              <w:t>3 years from approval</w:t>
            </w:r>
          </w:p>
        </w:tc>
      </w:tr>
      <w:tr w:rsidR="00615D2B" w:rsidRPr="00856DE7" w14:paraId="482F43D0" w14:textId="77777777" w:rsidTr="001961E4">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747F29">
        <w:tc>
          <w:tcPr>
            <w:tcW w:w="1129" w:type="dxa"/>
            <w:vAlign w:val="center"/>
          </w:tcPr>
          <w:p w14:paraId="23AE592F" w14:textId="29594C62" w:rsidR="00A40293" w:rsidRPr="00856DE7" w:rsidRDefault="009B2B30" w:rsidP="009B2B30">
            <w:pPr>
              <w:spacing w:before="0" w:after="60"/>
              <w:jc w:val="center"/>
              <w:rPr>
                <w:rFonts w:cs="Arial"/>
              </w:rPr>
            </w:pPr>
            <w:r>
              <w:rPr>
                <w:rFonts w:cs="Arial"/>
              </w:rPr>
              <w:t>May 2021</w:t>
            </w:r>
          </w:p>
        </w:tc>
        <w:tc>
          <w:tcPr>
            <w:tcW w:w="1134" w:type="dxa"/>
            <w:vAlign w:val="center"/>
          </w:tcPr>
          <w:p w14:paraId="72A01379" w14:textId="7A2D2411" w:rsidR="00A40293" w:rsidRPr="00856DE7" w:rsidRDefault="009B2B30" w:rsidP="00747F29">
            <w:pPr>
              <w:spacing w:before="0" w:after="60"/>
              <w:jc w:val="center"/>
              <w:rPr>
                <w:rFonts w:cs="Arial"/>
              </w:rPr>
            </w:pPr>
            <w:r>
              <w:rPr>
                <w:rFonts w:cs="Arial"/>
              </w:rPr>
              <w:t>2</w:t>
            </w:r>
          </w:p>
        </w:tc>
        <w:tc>
          <w:tcPr>
            <w:tcW w:w="4962" w:type="dxa"/>
          </w:tcPr>
          <w:p w14:paraId="048D8EA7" w14:textId="416436F6" w:rsidR="009B2B30" w:rsidRPr="009B2B30" w:rsidRDefault="009B2B30" w:rsidP="009B2B30">
            <w:pPr>
              <w:spacing w:before="0"/>
              <w:jc w:val="left"/>
              <w:rPr>
                <w:rFonts w:cs="Arial"/>
              </w:rPr>
            </w:pPr>
            <w:r w:rsidRPr="009B2B30">
              <w:rPr>
                <w:rFonts w:cs="Arial"/>
              </w:rPr>
              <w:t>Previous policy transferred to new template and retitled (previously Staff Health &amp; Preventing the Spread of Infection Policy)</w:t>
            </w:r>
          </w:p>
          <w:p w14:paraId="18743E17" w14:textId="7F517D2D" w:rsidR="009B2B30" w:rsidRPr="009B2B30" w:rsidRDefault="009B2B30" w:rsidP="009B2B30">
            <w:pPr>
              <w:spacing w:before="0"/>
              <w:jc w:val="left"/>
              <w:rPr>
                <w:rFonts w:cs="Arial"/>
              </w:rPr>
            </w:pPr>
            <w:r w:rsidRPr="009B2B30">
              <w:rPr>
                <w:rFonts w:cs="Arial"/>
              </w:rPr>
              <w:t>Content reviewed and updated, including references</w:t>
            </w:r>
          </w:p>
          <w:p w14:paraId="0217FA07" w14:textId="057838E8" w:rsidR="00A40293" w:rsidRPr="00856DE7" w:rsidRDefault="009B2B30" w:rsidP="009B2B30">
            <w:pPr>
              <w:spacing w:before="0"/>
              <w:jc w:val="left"/>
              <w:rPr>
                <w:rFonts w:cs="Arial"/>
              </w:rPr>
            </w:pPr>
            <w:r w:rsidRPr="009B2B30">
              <w:rPr>
                <w:rFonts w:cs="Arial"/>
              </w:rPr>
              <w:t>New section added on common infections and control measures</w:t>
            </w:r>
          </w:p>
        </w:tc>
        <w:tc>
          <w:tcPr>
            <w:tcW w:w="1559" w:type="dxa"/>
            <w:vAlign w:val="center"/>
          </w:tcPr>
          <w:p w14:paraId="6CDF95C3" w14:textId="12900DA9" w:rsidR="00A40293" w:rsidRPr="00856DE7" w:rsidRDefault="009B2B30" w:rsidP="00747F29">
            <w:pPr>
              <w:spacing w:before="0" w:after="60"/>
              <w:jc w:val="center"/>
              <w:rPr>
                <w:rFonts w:cs="Arial"/>
              </w:rPr>
            </w:pPr>
            <w:r>
              <w:rPr>
                <w:rFonts w:cs="Arial"/>
              </w:rPr>
              <w:t>Mo de Gruchy</w:t>
            </w:r>
          </w:p>
        </w:tc>
      </w:tr>
      <w:tr w:rsidR="00A40293" w:rsidRPr="00856DE7" w14:paraId="2D02D3E4" w14:textId="77777777" w:rsidTr="00747F29">
        <w:tc>
          <w:tcPr>
            <w:tcW w:w="1129" w:type="dxa"/>
            <w:vAlign w:val="center"/>
          </w:tcPr>
          <w:p w14:paraId="74A7A968" w14:textId="37812CF8" w:rsidR="00A40293" w:rsidRPr="00856DE7" w:rsidRDefault="009B2B30" w:rsidP="00747F29">
            <w:pPr>
              <w:spacing w:before="60"/>
              <w:jc w:val="center"/>
              <w:rPr>
                <w:rFonts w:cs="Arial"/>
              </w:rPr>
            </w:pPr>
            <w:r>
              <w:rPr>
                <w:rFonts w:cs="Arial"/>
              </w:rPr>
              <w:t>June 2025</w:t>
            </w:r>
          </w:p>
        </w:tc>
        <w:tc>
          <w:tcPr>
            <w:tcW w:w="1134" w:type="dxa"/>
            <w:vAlign w:val="center"/>
          </w:tcPr>
          <w:p w14:paraId="5F1B0001" w14:textId="71A6FC42" w:rsidR="00A40293" w:rsidRPr="00856DE7" w:rsidRDefault="009B2B30" w:rsidP="00747F29">
            <w:pPr>
              <w:spacing w:before="60"/>
              <w:jc w:val="center"/>
              <w:rPr>
                <w:rFonts w:cs="Arial"/>
              </w:rPr>
            </w:pPr>
            <w:r>
              <w:rPr>
                <w:rFonts w:cs="Arial"/>
              </w:rPr>
              <w:t>3</w:t>
            </w:r>
          </w:p>
        </w:tc>
        <w:tc>
          <w:tcPr>
            <w:tcW w:w="4962" w:type="dxa"/>
            <w:vAlign w:val="center"/>
          </w:tcPr>
          <w:p w14:paraId="00A35AF3" w14:textId="77777777" w:rsidR="00A40293" w:rsidRDefault="00F059E0" w:rsidP="00747F29">
            <w:pPr>
              <w:spacing w:before="0"/>
              <w:jc w:val="left"/>
              <w:rPr>
                <w:rFonts w:cs="Arial"/>
              </w:rPr>
            </w:pPr>
            <w:r>
              <w:rPr>
                <w:rFonts w:cs="Arial"/>
              </w:rPr>
              <w:t>Policy transferred to new template.</w:t>
            </w:r>
          </w:p>
          <w:p w14:paraId="29DBFEB5" w14:textId="4C50D4C6" w:rsidR="00F059E0" w:rsidRPr="00856DE7" w:rsidRDefault="00F059E0" w:rsidP="00747F29">
            <w:pPr>
              <w:spacing w:before="0"/>
              <w:jc w:val="left"/>
              <w:rPr>
                <w:rFonts w:cs="Arial"/>
              </w:rPr>
            </w:pPr>
            <w:r>
              <w:rPr>
                <w:rFonts w:cs="Arial"/>
              </w:rPr>
              <w:t xml:space="preserve">Full review of policy and update </w:t>
            </w:r>
            <w:r w:rsidR="003812E8">
              <w:rPr>
                <w:rFonts w:cs="Arial"/>
              </w:rPr>
              <w:t xml:space="preserve">in line with current best practices and </w:t>
            </w:r>
            <w:r w:rsidR="00747F29">
              <w:rPr>
                <w:rFonts w:cs="Arial"/>
              </w:rPr>
              <w:t>evidence-based</w:t>
            </w:r>
            <w:r w:rsidR="003812E8">
              <w:rPr>
                <w:rFonts w:cs="Arial"/>
              </w:rPr>
              <w:t xml:space="preserve"> research</w:t>
            </w:r>
            <w:r w:rsidR="00747F29">
              <w:rPr>
                <w:rFonts w:cs="Arial"/>
              </w:rPr>
              <w:t>.</w:t>
            </w:r>
          </w:p>
        </w:tc>
        <w:tc>
          <w:tcPr>
            <w:tcW w:w="1559" w:type="dxa"/>
            <w:vAlign w:val="center"/>
          </w:tcPr>
          <w:p w14:paraId="77C71F25" w14:textId="0885C7A6" w:rsidR="00A40293" w:rsidRPr="00856DE7" w:rsidRDefault="00747F29" w:rsidP="00747F29">
            <w:pPr>
              <w:spacing w:before="60"/>
              <w:jc w:val="center"/>
              <w:rPr>
                <w:rFonts w:cs="Arial"/>
              </w:rPr>
            </w:pPr>
            <w:r>
              <w:rPr>
                <w:rFonts w:cs="Arial"/>
              </w:rPr>
              <w:t>Rachel Foster</w:t>
            </w:r>
          </w:p>
        </w:tc>
      </w:tr>
      <w:tr w:rsidR="00A40293" w:rsidRPr="00856DE7" w14:paraId="44739294" w14:textId="77777777" w:rsidTr="007C66C9">
        <w:tc>
          <w:tcPr>
            <w:tcW w:w="1129" w:type="dxa"/>
            <w:vAlign w:val="center"/>
          </w:tcPr>
          <w:p w14:paraId="608798A2" w14:textId="77777777" w:rsidR="00A40293" w:rsidRPr="00856DE7" w:rsidRDefault="00A40293" w:rsidP="00615D2B">
            <w:pPr>
              <w:spacing w:before="60" w:after="60"/>
              <w:jc w:val="center"/>
              <w:rPr>
                <w:rFonts w:cs="Arial"/>
              </w:rPr>
            </w:pPr>
          </w:p>
        </w:tc>
        <w:tc>
          <w:tcPr>
            <w:tcW w:w="1134" w:type="dxa"/>
            <w:vAlign w:val="center"/>
          </w:tcPr>
          <w:p w14:paraId="4CF771A4" w14:textId="77777777" w:rsidR="00A40293" w:rsidRPr="00856DE7" w:rsidRDefault="00A40293" w:rsidP="00615D2B">
            <w:pPr>
              <w:spacing w:before="60" w:after="60"/>
              <w:jc w:val="center"/>
              <w:rPr>
                <w:rFonts w:cs="Arial"/>
              </w:rPr>
            </w:pPr>
          </w:p>
        </w:tc>
        <w:tc>
          <w:tcPr>
            <w:tcW w:w="4962" w:type="dxa"/>
          </w:tcPr>
          <w:p w14:paraId="4BCF84E8" w14:textId="77777777" w:rsidR="00A40293" w:rsidRPr="00856DE7" w:rsidRDefault="00A40293" w:rsidP="00615D2B">
            <w:pPr>
              <w:spacing w:before="60" w:after="60"/>
              <w:rPr>
                <w:rFonts w:cs="Arial"/>
              </w:rPr>
            </w:pPr>
          </w:p>
        </w:tc>
        <w:tc>
          <w:tcPr>
            <w:tcW w:w="1559" w:type="dxa"/>
          </w:tcPr>
          <w:p w14:paraId="732A9A6F" w14:textId="77777777" w:rsidR="00A40293" w:rsidRPr="00856DE7" w:rsidRDefault="00A40293" w:rsidP="00615D2B">
            <w:pPr>
              <w:spacing w:before="60" w:after="60"/>
              <w:rPr>
                <w:rFonts w:cs="Arial"/>
              </w:rPr>
            </w:pP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1CD4FBED" w14:textId="2F28ECE0" w:rsidR="00D6168A"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200009597" w:history="1">
            <w:r w:rsidR="00D6168A" w:rsidRPr="00B4328D">
              <w:rPr>
                <w:rStyle w:val="Hyperlink"/>
                <w:noProof/>
              </w:rPr>
              <w:t>1</w:t>
            </w:r>
            <w:r w:rsidR="00D6168A">
              <w:rPr>
                <w:rFonts w:asciiTheme="minorHAnsi" w:eastAsiaTheme="minorEastAsia" w:hAnsiTheme="minorHAnsi" w:cstheme="minorBidi"/>
                <w:noProof/>
                <w:kern w:val="2"/>
                <w:sz w:val="24"/>
                <w:lang w:val="en-GB" w:eastAsia="en-GB"/>
                <w14:ligatures w14:val="standardContextual"/>
              </w:rPr>
              <w:tab/>
            </w:r>
            <w:r w:rsidR="00D6168A" w:rsidRPr="00B4328D">
              <w:rPr>
                <w:rStyle w:val="Hyperlink"/>
                <w:noProof/>
              </w:rPr>
              <w:t>INTRODUCTION</w:t>
            </w:r>
            <w:r w:rsidR="00D6168A">
              <w:rPr>
                <w:noProof/>
                <w:webHidden/>
              </w:rPr>
              <w:tab/>
            </w:r>
            <w:r w:rsidR="00D6168A">
              <w:rPr>
                <w:noProof/>
                <w:webHidden/>
              </w:rPr>
              <w:fldChar w:fldCharType="begin"/>
            </w:r>
            <w:r w:rsidR="00D6168A">
              <w:rPr>
                <w:noProof/>
                <w:webHidden/>
              </w:rPr>
              <w:instrText xml:space="preserve"> PAGEREF _Toc200009597 \h </w:instrText>
            </w:r>
            <w:r w:rsidR="00D6168A">
              <w:rPr>
                <w:noProof/>
                <w:webHidden/>
              </w:rPr>
            </w:r>
            <w:r w:rsidR="00D6168A">
              <w:rPr>
                <w:noProof/>
                <w:webHidden/>
              </w:rPr>
              <w:fldChar w:fldCharType="separate"/>
            </w:r>
            <w:r w:rsidR="00D6168A">
              <w:rPr>
                <w:noProof/>
                <w:webHidden/>
              </w:rPr>
              <w:t>4</w:t>
            </w:r>
            <w:r w:rsidR="00D6168A">
              <w:rPr>
                <w:noProof/>
                <w:webHidden/>
              </w:rPr>
              <w:fldChar w:fldCharType="end"/>
            </w:r>
          </w:hyperlink>
        </w:p>
        <w:p w14:paraId="31D16FF1" w14:textId="19B1988F"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598" w:history="1">
            <w:r w:rsidRPr="00B4328D">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Rationale</w:t>
            </w:r>
            <w:r>
              <w:rPr>
                <w:noProof/>
                <w:webHidden/>
              </w:rPr>
              <w:tab/>
            </w:r>
            <w:r>
              <w:rPr>
                <w:noProof/>
                <w:webHidden/>
              </w:rPr>
              <w:fldChar w:fldCharType="begin"/>
            </w:r>
            <w:r>
              <w:rPr>
                <w:noProof/>
                <w:webHidden/>
              </w:rPr>
              <w:instrText xml:space="preserve"> PAGEREF _Toc200009598 \h </w:instrText>
            </w:r>
            <w:r>
              <w:rPr>
                <w:noProof/>
                <w:webHidden/>
              </w:rPr>
            </w:r>
            <w:r>
              <w:rPr>
                <w:noProof/>
                <w:webHidden/>
              </w:rPr>
              <w:fldChar w:fldCharType="separate"/>
            </w:r>
            <w:r>
              <w:rPr>
                <w:noProof/>
                <w:webHidden/>
              </w:rPr>
              <w:t>4</w:t>
            </w:r>
            <w:r>
              <w:rPr>
                <w:noProof/>
                <w:webHidden/>
              </w:rPr>
              <w:fldChar w:fldCharType="end"/>
            </w:r>
          </w:hyperlink>
        </w:p>
        <w:p w14:paraId="4AC036E8" w14:textId="509E4800"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599" w:history="1">
            <w:r w:rsidRPr="00B4328D">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Scope</w:t>
            </w:r>
            <w:r>
              <w:rPr>
                <w:noProof/>
                <w:webHidden/>
              </w:rPr>
              <w:tab/>
            </w:r>
            <w:r>
              <w:rPr>
                <w:noProof/>
                <w:webHidden/>
              </w:rPr>
              <w:fldChar w:fldCharType="begin"/>
            </w:r>
            <w:r>
              <w:rPr>
                <w:noProof/>
                <w:webHidden/>
              </w:rPr>
              <w:instrText xml:space="preserve"> PAGEREF _Toc200009599 \h </w:instrText>
            </w:r>
            <w:r>
              <w:rPr>
                <w:noProof/>
                <w:webHidden/>
              </w:rPr>
            </w:r>
            <w:r>
              <w:rPr>
                <w:noProof/>
                <w:webHidden/>
              </w:rPr>
              <w:fldChar w:fldCharType="separate"/>
            </w:r>
            <w:r>
              <w:rPr>
                <w:noProof/>
                <w:webHidden/>
              </w:rPr>
              <w:t>4</w:t>
            </w:r>
            <w:r>
              <w:rPr>
                <w:noProof/>
                <w:webHidden/>
              </w:rPr>
              <w:fldChar w:fldCharType="end"/>
            </w:r>
          </w:hyperlink>
        </w:p>
        <w:p w14:paraId="4B0751A0" w14:textId="5B3B7E4C"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0" w:history="1">
            <w:r w:rsidRPr="00B4328D">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Role and Responsibilities</w:t>
            </w:r>
            <w:r>
              <w:rPr>
                <w:noProof/>
                <w:webHidden/>
              </w:rPr>
              <w:tab/>
            </w:r>
            <w:r>
              <w:rPr>
                <w:noProof/>
                <w:webHidden/>
              </w:rPr>
              <w:fldChar w:fldCharType="begin"/>
            </w:r>
            <w:r>
              <w:rPr>
                <w:noProof/>
                <w:webHidden/>
              </w:rPr>
              <w:instrText xml:space="preserve"> PAGEREF _Toc200009600 \h </w:instrText>
            </w:r>
            <w:r>
              <w:rPr>
                <w:noProof/>
                <w:webHidden/>
              </w:rPr>
            </w:r>
            <w:r>
              <w:rPr>
                <w:noProof/>
                <w:webHidden/>
              </w:rPr>
              <w:fldChar w:fldCharType="separate"/>
            </w:r>
            <w:r>
              <w:rPr>
                <w:noProof/>
                <w:webHidden/>
              </w:rPr>
              <w:t>4</w:t>
            </w:r>
            <w:r>
              <w:rPr>
                <w:noProof/>
                <w:webHidden/>
              </w:rPr>
              <w:fldChar w:fldCharType="end"/>
            </w:r>
          </w:hyperlink>
        </w:p>
        <w:p w14:paraId="72D33DD0" w14:textId="58D61B2C"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1" w:history="1">
            <w:r w:rsidRPr="00B4328D">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POLICY</w:t>
            </w:r>
            <w:r>
              <w:rPr>
                <w:noProof/>
                <w:webHidden/>
              </w:rPr>
              <w:tab/>
            </w:r>
            <w:r>
              <w:rPr>
                <w:noProof/>
                <w:webHidden/>
              </w:rPr>
              <w:fldChar w:fldCharType="begin"/>
            </w:r>
            <w:r>
              <w:rPr>
                <w:noProof/>
                <w:webHidden/>
              </w:rPr>
              <w:instrText xml:space="preserve"> PAGEREF _Toc200009601 \h </w:instrText>
            </w:r>
            <w:r>
              <w:rPr>
                <w:noProof/>
                <w:webHidden/>
              </w:rPr>
            </w:r>
            <w:r>
              <w:rPr>
                <w:noProof/>
                <w:webHidden/>
              </w:rPr>
              <w:fldChar w:fldCharType="separate"/>
            </w:r>
            <w:r>
              <w:rPr>
                <w:noProof/>
                <w:webHidden/>
              </w:rPr>
              <w:t>5</w:t>
            </w:r>
            <w:r>
              <w:rPr>
                <w:noProof/>
                <w:webHidden/>
              </w:rPr>
              <w:fldChar w:fldCharType="end"/>
            </w:r>
          </w:hyperlink>
        </w:p>
        <w:p w14:paraId="2CF75AD6" w14:textId="1F680E7F"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2" w:history="1">
            <w:r w:rsidRPr="00B4328D">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General Principles</w:t>
            </w:r>
            <w:r>
              <w:rPr>
                <w:noProof/>
                <w:webHidden/>
              </w:rPr>
              <w:tab/>
            </w:r>
            <w:r>
              <w:rPr>
                <w:noProof/>
                <w:webHidden/>
              </w:rPr>
              <w:fldChar w:fldCharType="begin"/>
            </w:r>
            <w:r>
              <w:rPr>
                <w:noProof/>
                <w:webHidden/>
              </w:rPr>
              <w:instrText xml:space="preserve"> PAGEREF _Toc200009602 \h </w:instrText>
            </w:r>
            <w:r>
              <w:rPr>
                <w:noProof/>
                <w:webHidden/>
              </w:rPr>
            </w:r>
            <w:r>
              <w:rPr>
                <w:noProof/>
                <w:webHidden/>
              </w:rPr>
              <w:fldChar w:fldCharType="separate"/>
            </w:r>
            <w:r>
              <w:rPr>
                <w:noProof/>
                <w:webHidden/>
              </w:rPr>
              <w:t>5</w:t>
            </w:r>
            <w:r>
              <w:rPr>
                <w:noProof/>
                <w:webHidden/>
              </w:rPr>
              <w:fldChar w:fldCharType="end"/>
            </w:r>
          </w:hyperlink>
        </w:p>
        <w:p w14:paraId="28648A67" w14:textId="2D6CDDDF"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3" w:history="1">
            <w:r w:rsidRPr="00B4328D">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Infections in Healthcare Staff</w:t>
            </w:r>
            <w:r>
              <w:rPr>
                <w:noProof/>
                <w:webHidden/>
              </w:rPr>
              <w:tab/>
            </w:r>
            <w:r>
              <w:rPr>
                <w:noProof/>
                <w:webHidden/>
              </w:rPr>
              <w:fldChar w:fldCharType="begin"/>
            </w:r>
            <w:r>
              <w:rPr>
                <w:noProof/>
                <w:webHidden/>
              </w:rPr>
              <w:instrText xml:space="preserve"> PAGEREF _Toc200009603 \h </w:instrText>
            </w:r>
            <w:r>
              <w:rPr>
                <w:noProof/>
                <w:webHidden/>
              </w:rPr>
            </w:r>
            <w:r>
              <w:rPr>
                <w:noProof/>
                <w:webHidden/>
              </w:rPr>
              <w:fldChar w:fldCharType="separate"/>
            </w:r>
            <w:r>
              <w:rPr>
                <w:noProof/>
                <w:webHidden/>
              </w:rPr>
              <w:t>6</w:t>
            </w:r>
            <w:r>
              <w:rPr>
                <w:noProof/>
                <w:webHidden/>
              </w:rPr>
              <w:fldChar w:fldCharType="end"/>
            </w:r>
          </w:hyperlink>
        </w:p>
        <w:p w14:paraId="341E4FE9" w14:textId="54715495"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4" w:history="1">
            <w:r w:rsidRPr="00B4328D">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Vulnerable Staff</w:t>
            </w:r>
            <w:r>
              <w:rPr>
                <w:noProof/>
                <w:webHidden/>
              </w:rPr>
              <w:tab/>
            </w:r>
            <w:r>
              <w:rPr>
                <w:noProof/>
                <w:webHidden/>
              </w:rPr>
              <w:fldChar w:fldCharType="begin"/>
            </w:r>
            <w:r>
              <w:rPr>
                <w:noProof/>
                <w:webHidden/>
              </w:rPr>
              <w:instrText xml:space="preserve"> PAGEREF _Toc200009604 \h </w:instrText>
            </w:r>
            <w:r>
              <w:rPr>
                <w:noProof/>
                <w:webHidden/>
              </w:rPr>
            </w:r>
            <w:r>
              <w:rPr>
                <w:noProof/>
                <w:webHidden/>
              </w:rPr>
              <w:fldChar w:fldCharType="separate"/>
            </w:r>
            <w:r>
              <w:rPr>
                <w:noProof/>
                <w:webHidden/>
              </w:rPr>
              <w:t>7</w:t>
            </w:r>
            <w:r>
              <w:rPr>
                <w:noProof/>
                <w:webHidden/>
              </w:rPr>
              <w:fldChar w:fldCharType="end"/>
            </w:r>
          </w:hyperlink>
        </w:p>
        <w:p w14:paraId="09EC63DB" w14:textId="588F5748"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5" w:history="1">
            <w:r w:rsidRPr="00B4328D">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Pregnancy</w:t>
            </w:r>
            <w:r>
              <w:rPr>
                <w:noProof/>
                <w:webHidden/>
              </w:rPr>
              <w:tab/>
            </w:r>
            <w:r>
              <w:rPr>
                <w:noProof/>
                <w:webHidden/>
              </w:rPr>
              <w:fldChar w:fldCharType="begin"/>
            </w:r>
            <w:r>
              <w:rPr>
                <w:noProof/>
                <w:webHidden/>
              </w:rPr>
              <w:instrText xml:space="preserve"> PAGEREF _Toc200009605 \h </w:instrText>
            </w:r>
            <w:r>
              <w:rPr>
                <w:noProof/>
                <w:webHidden/>
              </w:rPr>
            </w:r>
            <w:r>
              <w:rPr>
                <w:noProof/>
                <w:webHidden/>
              </w:rPr>
              <w:fldChar w:fldCharType="separate"/>
            </w:r>
            <w:r>
              <w:rPr>
                <w:noProof/>
                <w:webHidden/>
              </w:rPr>
              <w:t>7</w:t>
            </w:r>
            <w:r>
              <w:rPr>
                <w:noProof/>
                <w:webHidden/>
              </w:rPr>
              <w:fldChar w:fldCharType="end"/>
            </w:r>
          </w:hyperlink>
        </w:p>
        <w:p w14:paraId="4CBF839A" w14:textId="655BFA79"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6" w:history="1">
            <w:r w:rsidRPr="00B4328D">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Exclusion from Work</w:t>
            </w:r>
            <w:r>
              <w:rPr>
                <w:noProof/>
                <w:webHidden/>
              </w:rPr>
              <w:tab/>
            </w:r>
            <w:r>
              <w:rPr>
                <w:noProof/>
                <w:webHidden/>
              </w:rPr>
              <w:fldChar w:fldCharType="begin"/>
            </w:r>
            <w:r>
              <w:rPr>
                <w:noProof/>
                <w:webHidden/>
              </w:rPr>
              <w:instrText xml:space="preserve"> PAGEREF _Toc200009606 \h </w:instrText>
            </w:r>
            <w:r>
              <w:rPr>
                <w:noProof/>
                <w:webHidden/>
              </w:rPr>
            </w:r>
            <w:r>
              <w:rPr>
                <w:noProof/>
                <w:webHidden/>
              </w:rPr>
              <w:fldChar w:fldCharType="separate"/>
            </w:r>
            <w:r>
              <w:rPr>
                <w:noProof/>
                <w:webHidden/>
              </w:rPr>
              <w:t>8</w:t>
            </w:r>
            <w:r>
              <w:rPr>
                <w:noProof/>
                <w:webHidden/>
              </w:rPr>
              <w:fldChar w:fldCharType="end"/>
            </w:r>
          </w:hyperlink>
        </w:p>
        <w:p w14:paraId="6A2889E1" w14:textId="76BCB6F7"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7" w:history="1">
            <w:r w:rsidRPr="00B4328D">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PROCEDURE</w:t>
            </w:r>
            <w:r>
              <w:rPr>
                <w:noProof/>
                <w:webHidden/>
              </w:rPr>
              <w:tab/>
            </w:r>
            <w:r>
              <w:rPr>
                <w:noProof/>
                <w:webHidden/>
              </w:rPr>
              <w:fldChar w:fldCharType="begin"/>
            </w:r>
            <w:r>
              <w:rPr>
                <w:noProof/>
                <w:webHidden/>
              </w:rPr>
              <w:instrText xml:space="preserve"> PAGEREF _Toc200009607 \h </w:instrText>
            </w:r>
            <w:r>
              <w:rPr>
                <w:noProof/>
                <w:webHidden/>
              </w:rPr>
            </w:r>
            <w:r>
              <w:rPr>
                <w:noProof/>
                <w:webHidden/>
              </w:rPr>
              <w:fldChar w:fldCharType="separate"/>
            </w:r>
            <w:r>
              <w:rPr>
                <w:noProof/>
                <w:webHidden/>
              </w:rPr>
              <w:t>8</w:t>
            </w:r>
            <w:r>
              <w:rPr>
                <w:noProof/>
                <w:webHidden/>
              </w:rPr>
              <w:fldChar w:fldCharType="end"/>
            </w:r>
          </w:hyperlink>
        </w:p>
        <w:p w14:paraId="303E5BE6" w14:textId="1B2103BF"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8" w:history="1">
            <w:r w:rsidRPr="00B4328D">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Summary of Work Restrictions for Healthcare Workers</w:t>
            </w:r>
            <w:r>
              <w:rPr>
                <w:noProof/>
                <w:webHidden/>
              </w:rPr>
              <w:tab/>
            </w:r>
            <w:r>
              <w:rPr>
                <w:noProof/>
                <w:webHidden/>
              </w:rPr>
              <w:fldChar w:fldCharType="begin"/>
            </w:r>
            <w:r>
              <w:rPr>
                <w:noProof/>
                <w:webHidden/>
              </w:rPr>
              <w:instrText xml:space="preserve"> PAGEREF _Toc200009608 \h </w:instrText>
            </w:r>
            <w:r>
              <w:rPr>
                <w:noProof/>
                <w:webHidden/>
              </w:rPr>
            </w:r>
            <w:r>
              <w:rPr>
                <w:noProof/>
                <w:webHidden/>
              </w:rPr>
              <w:fldChar w:fldCharType="separate"/>
            </w:r>
            <w:r>
              <w:rPr>
                <w:noProof/>
                <w:webHidden/>
              </w:rPr>
              <w:t>8</w:t>
            </w:r>
            <w:r>
              <w:rPr>
                <w:noProof/>
                <w:webHidden/>
              </w:rPr>
              <w:fldChar w:fldCharType="end"/>
            </w:r>
          </w:hyperlink>
        </w:p>
        <w:p w14:paraId="63585441" w14:textId="437BACCE"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09" w:history="1">
            <w:r w:rsidRPr="00B4328D">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Additional Considerations</w:t>
            </w:r>
            <w:r>
              <w:rPr>
                <w:noProof/>
                <w:webHidden/>
              </w:rPr>
              <w:tab/>
            </w:r>
            <w:r>
              <w:rPr>
                <w:noProof/>
                <w:webHidden/>
              </w:rPr>
              <w:fldChar w:fldCharType="begin"/>
            </w:r>
            <w:r>
              <w:rPr>
                <w:noProof/>
                <w:webHidden/>
              </w:rPr>
              <w:instrText xml:space="preserve"> PAGEREF _Toc200009609 \h </w:instrText>
            </w:r>
            <w:r>
              <w:rPr>
                <w:noProof/>
                <w:webHidden/>
              </w:rPr>
            </w:r>
            <w:r>
              <w:rPr>
                <w:noProof/>
                <w:webHidden/>
              </w:rPr>
              <w:fldChar w:fldCharType="separate"/>
            </w:r>
            <w:r>
              <w:rPr>
                <w:noProof/>
                <w:webHidden/>
              </w:rPr>
              <w:t>11</w:t>
            </w:r>
            <w:r>
              <w:rPr>
                <w:noProof/>
                <w:webHidden/>
              </w:rPr>
              <w:fldChar w:fldCharType="end"/>
            </w:r>
          </w:hyperlink>
        </w:p>
        <w:p w14:paraId="4EA52950" w14:textId="4CAEF6C2"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0" w:history="1">
            <w:r w:rsidRPr="00B4328D">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MONITORING COMPLIANCE</w:t>
            </w:r>
            <w:r>
              <w:rPr>
                <w:noProof/>
                <w:webHidden/>
              </w:rPr>
              <w:tab/>
            </w:r>
            <w:r>
              <w:rPr>
                <w:noProof/>
                <w:webHidden/>
              </w:rPr>
              <w:fldChar w:fldCharType="begin"/>
            </w:r>
            <w:r>
              <w:rPr>
                <w:noProof/>
                <w:webHidden/>
              </w:rPr>
              <w:instrText xml:space="preserve"> PAGEREF _Toc200009610 \h </w:instrText>
            </w:r>
            <w:r>
              <w:rPr>
                <w:noProof/>
                <w:webHidden/>
              </w:rPr>
            </w:r>
            <w:r>
              <w:rPr>
                <w:noProof/>
                <w:webHidden/>
              </w:rPr>
              <w:fldChar w:fldCharType="separate"/>
            </w:r>
            <w:r>
              <w:rPr>
                <w:noProof/>
                <w:webHidden/>
              </w:rPr>
              <w:t>11</w:t>
            </w:r>
            <w:r>
              <w:rPr>
                <w:noProof/>
                <w:webHidden/>
              </w:rPr>
              <w:fldChar w:fldCharType="end"/>
            </w:r>
          </w:hyperlink>
        </w:p>
        <w:p w14:paraId="312ECAE3" w14:textId="46714743"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1" w:history="1">
            <w:r w:rsidRPr="00B4328D">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CONSULTATION PROCESS</w:t>
            </w:r>
            <w:r>
              <w:rPr>
                <w:noProof/>
                <w:webHidden/>
              </w:rPr>
              <w:tab/>
            </w:r>
            <w:r>
              <w:rPr>
                <w:noProof/>
                <w:webHidden/>
              </w:rPr>
              <w:fldChar w:fldCharType="begin"/>
            </w:r>
            <w:r>
              <w:rPr>
                <w:noProof/>
                <w:webHidden/>
              </w:rPr>
              <w:instrText xml:space="preserve"> PAGEREF _Toc200009611 \h </w:instrText>
            </w:r>
            <w:r>
              <w:rPr>
                <w:noProof/>
                <w:webHidden/>
              </w:rPr>
            </w:r>
            <w:r>
              <w:rPr>
                <w:noProof/>
                <w:webHidden/>
              </w:rPr>
              <w:fldChar w:fldCharType="separate"/>
            </w:r>
            <w:r>
              <w:rPr>
                <w:noProof/>
                <w:webHidden/>
              </w:rPr>
              <w:t>12</w:t>
            </w:r>
            <w:r>
              <w:rPr>
                <w:noProof/>
                <w:webHidden/>
              </w:rPr>
              <w:fldChar w:fldCharType="end"/>
            </w:r>
          </w:hyperlink>
        </w:p>
        <w:p w14:paraId="6B2A44B9" w14:textId="49ADF348"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2" w:history="1">
            <w:r w:rsidRPr="00B4328D">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EQUALITY IMPACT STATEMENT</w:t>
            </w:r>
            <w:r>
              <w:rPr>
                <w:noProof/>
                <w:webHidden/>
              </w:rPr>
              <w:tab/>
            </w:r>
            <w:r>
              <w:rPr>
                <w:noProof/>
                <w:webHidden/>
              </w:rPr>
              <w:fldChar w:fldCharType="begin"/>
            </w:r>
            <w:r>
              <w:rPr>
                <w:noProof/>
                <w:webHidden/>
              </w:rPr>
              <w:instrText xml:space="preserve"> PAGEREF _Toc200009612 \h </w:instrText>
            </w:r>
            <w:r>
              <w:rPr>
                <w:noProof/>
                <w:webHidden/>
              </w:rPr>
            </w:r>
            <w:r>
              <w:rPr>
                <w:noProof/>
                <w:webHidden/>
              </w:rPr>
              <w:fldChar w:fldCharType="separate"/>
            </w:r>
            <w:r>
              <w:rPr>
                <w:noProof/>
                <w:webHidden/>
              </w:rPr>
              <w:t>12</w:t>
            </w:r>
            <w:r>
              <w:rPr>
                <w:noProof/>
                <w:webHidden/>
              </w:rPr>
              <w:fldChar w:fldCharType="end"/>
            </w:r>
          </w:hyperlink>
        </w:p>
        <w:p w14:paraId="4F9B5A60" w14:textId="557E3BF4" w:rsidR="00D6168A" w:rsidRDefault="00D6168A">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3" w:history="1">
            <w:r w:rsidRPr="00B4328D">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EQUALITY IMPACT SCREENING TOOL</w:t>
            </w:r>
            <w:r>
              <w:rPr>
                <w:noProof/>
                <w:webHidden/>
              </w:rPr>
              <w:tab/>
            </w:r>
            <w:r>
              <w:rPr>
                <w:noProof/>
                <w:webHidden/>
              </w:rPr>
              <w:fldChar w:fldCharType="begin"/>
            </w:r>
            <w:r>
              <w:rPr>
                <w:noProof/>
                <w:webHidden/>
              </w:rPr>
              <w:instrText xml:space="preserve"> PAGEREF _Toc200009613 \h </w:instrText>
            </w:r>
            <w:r>
              <w:rPr>
                <w:noProof/>
                <w:webHidden/>
              </w:rPr>
            </w:r>
            <w:r>
              <w:rPr>
                <w:noProof/>
                <w:webHidden/>
              </w:rPr>
              <w:fldChar w:fldCharType="separate"/>
            </w:r>
            <w:r>
              <w:rPr>
                <w:noProof/>
                <w:webHidden/>
              </w:rPr>
              <w:t>14</w:t>
            </w:r>
            <w:r>
              <w:rPr>
                <w:noProof/>
                <w:webHidden/>
              </w:rPr>
              <w:fldChar w:fldCharType="end"/>
            </w:r>
          </w:hyperlink>
        </w:p>
        <w:p w14:paraId="15E707BE" w14:textId="2FC3C9B2"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4" w:history="1">
            <w:r w:rsidRPr="00B4328D">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IMPLEMENTATION PLAN</w:t>
            </w:r>
            <w:r>
              <w:rPr>
                <w:noProof/>
                <w:webHidden/>
              </w:rPr>
              <w:tab/>
            </w:r>
            <w:r>
              <w:rPr>
                <w:noProof/>
                <w:webHidden/>
              </w:rPr>
              <w:fldChar w:fldCharType="begin"/>
            </w:r>
            <w:r>
              <w:rPr>
                <w:noProof/>
                <w:webHidden/>
              </w:rPr>
              <w:instrText xml:space="preserve"> PAGEREF _Toc200009614 \h </w:instrText>
            </w:r>
            <w:r>
              <w:rPr>
                <w:noProof/>
                <w:webHidden/>
              </w:rPr>
            </w:r>
            <w:r>
              <w:rPr>
                <w:noProof/>
                <w:webHidden/>
              </w:rPr>
              <w:fldChar w:fldCharType="separate"/>
            </w:r>
            <w:r>
              <w:rPr>
                <w:noProof/>
                <w:webHidden/>
              </w:rPr>
              <w:t>15</w:t>
            </w:r>
            <w:r>
              <w:rPr>
                <w:noProof/>
                <w:webHidden/>
              </w:rPr>
              <w:fldChar w:fldCharType="end"/>
            </w:r>
          </w:hyperlink>
        </w:p>
        <w:p w14:paraId="5B20C8F5" w14:textId="526E5A5B"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5" w:history="1">
            <w:r w:rsidRPr="00B4328D">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GLOSSARY OF TERMS</w:t>
            </w:r>
            <w:r>
              <w:rPr>
                <w:noProof/>
                <w:webHidden/>
              </w:rPr>
              <w:tab/>
            </w:r>
            <w:r>
              <w:rPr>
                <w:noProof/>
                <w:webHidden/>
              </w:rPr>
              <w:fldChar w:fldCharType="begin"/>
            </w:r>
            <w:r>
              <w:rPr>
                <w:noProof/>
                <w:webHidden/>
              </w:rPr>
              <w:instrText xml:space="preserve"> PAGEREF _Toc200009615 \h </w:instrText>
            </w:r>
            <w:r>
              <w:rPr>
                <w:noProof/>
                <w:webHidden/>
              </w:rPr>
            </w:r>
            <w:r>
              <w:rPr>
                <w:noProof/>
                <w:webHidden/>
              </w:rPr>
              <w:fldChar w:fldCharType="separate"/>
            </w:r>
            <w:r>
              <w:rPr>
                <w:noProof/>
                <w:webHidden/>
              </w:rPr>
              <w:t>15</w:t>
            </w:r>
            <w:r>
              <w:rPr>
                <w:noProof/>
                <w:webHidden/>
              </w:rPr>
              <w:fldChar w:fldCharType="end"/>
            </w:r>
          </w:hyperlink>
        </w:p>
        <w:p w14:paraId="13CA3D0B" w14:textId="75BFC96C" w:rsidR="00D6168A" w:rsidRDefault="00D6168A">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200009616" w:history="1">
            <w:r w:rsidRPr="00B4328D">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B4328D">
              <w:rPr>
                <w:rStyle w:val="Hyperlink"/>
                <w:noProof/>
              </w:rPr>
              <w:t>REFERENCES</w:t>
            </w:r>
            <w:r>
              <w:rPr>
                <w:noProof/>
                <w:webHidden/>
              </w:rPr>
              <w:tab/>
            </w:r>
            <w:r>
              <w:rPr>
                <w:noProof/>
                <w:webHidden/>
              </w:rPr>
              <w:fldChar w:fldCharType="begin"/>
            </w:r>
            <w:r>
              <w:rPr>
                <w:noProof/>
                <w:webHidden/>
              </w:rPr>
              <w:instrText xml:space="preserve"> PAGEREF _Toc200009616 \h </w:instrText>
            </w:r>
            <w:r>
              <w:rPr>
                <w:noProof/>
                <w:webHidden/>
              </w:rPr>
            </w:r>
            <w:r>
              <w:rPr>
                <w:noProof/>
                <w:webHidden/>
              </w:rPr>
              <w:fldChar w:fldCharType="separate"/>
            </w:r>
            <w:r>
              <w:rPr>
                <w:noProof/>
                <w:webHidden/>
              </w:rPr>
              <w:t>17</w:t>
            </w:r>
            <w:r>
              <w:rPr>
                <w:noProof/>
                <w:webHidden/>
              </w:rPr>
              <w:fldChar w:fldCharType="end"/>
            </w:r>
          </w:hyperlink>
        </w:p>
        <w:p w14:paraId="4B5C883B" w14:textId="509480E6"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200009597"/>
      <w:r w:rsidRPr="00A33A94">
        <w:lastRenderedPageBreak/>
        <w:t>INTRODUCTION</w:t>
      </w:r>
      <w:bookmarkEnd w:id="0"/>
    </w:p>
    <w:p w14:paraId="37E4D994" w14:textId="77777777" w:rsidR="00635894" w:rsidRPr="00856DE7" w:rsidRDefault="0069423A" w:rsidP="00AA26D2">
      <w:pPr>
        <w:pStyle w:val="Heading2"/>
      </w:pPr>
      <w:bookmarkStart w:id="1" w:name="_Toc200009598"/>
      <w:r w:rsidRPr="00AA26D2">
        <w:t>Rationale</w:t>
      </w:r>
      <w:bookmarkEnd w:id="1"/>
    </w:p>
    <w:p w14:paraId="1F8C49D4" w14:textId="58BA3239" w:rsidR="00860929" w:rsidRDefault="00DF707F" w:rsidP="00A33A94">
      <w:pPr>
        <w:rPr>
          <w:iCs/>
        </w:rPr>
      </w:pPr>
      <w:r>
        <w:rPr>
          <w:iCs/>
        </w:rPr>
        <w:t xml:space="preserve">Family Nursing &amp; Home Care (FNHC) is committed to protecting the health, safety and wellbeing of its staff, service users and the wider community.  This policy outlines the </w:t>
      </w:r>
      <w:proofErr w:type="spellStart"/>
      <w:r>
        <w:rPr>
          <w:iCs/>
        </w:rPr>
        <w:t>organisational</w:t>
      </w:r>
      <w:proofErr w:type="spellEnd"/>
      <w:r>
        <w:rPr>
          <w:iCs/>
        </w:rPr>
        <w:t xml:space="preserve"> response </w:t>
      </w:r>
      <w:r w:rsidR="00B4178B">
        <w:rPr>
          <w:iCs/>
        </w:rPr>
        <w:t xml:space="preserve">when staff have a suspected of confirmed </w:t>
      </w:r>
      <w:proofErr w:type="gramStart"/>
      <w:r w:rsidR="005435C3">
        <w:rPr>
          <w:iCs/>
        </w:rPr>
        <w:t>infection</w:t>
      </w:r>
      <w:r w:rsidR="002C4777">
        <w:rPr>
          <w:iCs/>
        </w:rPr>
        <w:t>,</w:t>
      </w:r>
      <w:r w:rsidR="005435C3">
        <w:rPr>
          <w:iCs/>
        </w:rPr>
        <w:t xml:space="preserve"> or</w:t>
      </w:r>
      <w:proofErr w:type="gramEnd"/>
      <w:r w:rsidR="00B4178B">
        <w:rPr>
          <w:iCs/>
        </w:rPr>
        <w:t xml:space="preserve"> have been exposed to an infectious agent.</w:t>
      </w:r>
    </w:p>
    <w:p w14:paraId="5A33C522" w14:textId="77777777" w:rsidR="00B4178B" w:rsidRDefault="00B4178B" w:rsidP="00A33A94">
      <w:pPr>
        <w:rPr>
          <w:iCs/>
        </w:rPr>
      </w:pPr>
    </w:p>
    <w:p w14:paraId="20C6DE89" w14:textId="1E78EF7D" w:rsidR="00B4178B" w:rsidRDefault="00B4178B" w:rsidP="00A33A94">
      <w:pPr>
        <w:rPr>
          <w:iCs/>
        </w:rPr>
      </w:pPr>
      <w:r>
        <w:rPr>
          <w:iCs/>
        </w:rPr>
        <w:t xml:space="preserve">The purpose of this policy is to </w:t>
      </w:r>
      <w:proofErr w:type="spellStart"/>
      <w:r w:rsidR="00F9718D">
        <w:rPr>
          <w:iCs/>
        </w:rPr>
        <w:t>minimise</w:t>
      </w:r>
      <w:proofErr w:type="spellEnd"/>
      <w:r>
        <w:rPr>
          <w:iCs/>
        </w:rPr>
        <w:t xml:space="preserve"> the risk of transmission of communicable diseases in the workplace, by promoting </w:t>
      </w:r>
      <w:r w:rsidR="00D07B84">
        <w:rPr>
          <w:iCs/>
        </w:rPr>
        <w:t>timely identification, appropriate risk assessment, and proportionate action.  This includes temporary exclusion from work when clinically or operationally required.</w:t>
      </w:r>
    </w:p>
    <w:p w14:paraId="4936D456" w14:textId="77777777" w:rsidR="00D07B84" w:rsidRDefault="00D07B84" w:rsidP="00A33A94">
      <w:pPr>
        <w:rPr>
          <w:iCs/>
        </w:rPr>
      </w:pPr>
    </w:p>
    <w:p w14:paraId="695E24E9" w14:textId="3E221B5E" w:rsidR="00D07B84" w:rsidRPr="00397A9C" w:rsidRDefault="00D07B84" w:rsidP="00A33A94">
      <w:pPr>
        <w:rPr>
          <w:iCs/>
        </w:rPr>
      </w:pPr>
      <w:r>
        <w:rPr>
          <w:iCs/>
        </w:rPr>
        <w:t>The policy aligns with the current in</w:t>
      </w:r>
      <w:r w:rsidR="009151EF">
        <w:rPr>
          <w:iCs/>
        </w:rPr>
        <w:t>fection prevention and control (</w:t>
      </w:r>
      <w:proofErr w:type="spellStart"/>
      <w:r w:rsidR="009151EF">
        <w:rPr>
          <w:iCs/>
        </w:rPr>
        <w:t>IP</w:t>
      </w:r>
      <w:r w:rsidR="00CA062C">
        <w:rPr>
          <w:iCs/>
        </w:rPr>
        <w:t>a</w:t>
      </w:r>
      <w:r w:rsidR="009151EF">
        <w:rPr>
          <w:iCs/>
        </w:rPr>
        <w:t>C</w:t>
      </w:r>
      <w:proofErr w:type="spellEnd"/>
      <w:r w:rsidR="009151EF">
        <w:rPr>
          <w:iCs/>
        </w:rPr>
        <w:t xml:space="preserve">) guidance from UK Health Security Agency </w:t>
      </w:r>
      <w:r w:rsidR="00C72717">
        <w:rPr>
          <w:iCs/>
        </w:rPr>
        <w:t>(UKHSA), the Government of Jersey (</w:t>
      </w:r>
      <w:proofErr w:type="spellStart"/>
      <w:r w:rsidR="00C72717">
        <w:rPr>
          <w:iCs/>
        </w:rPr>
        <w:t>GoJ</w:t>
      </w:r>
      <w:proofErr w:type="spellEnd"/>
      <w:r w:rsidR="00C72717">
        <w:rPr>
          <w:iCs/>
        </w:rPr>
        <w:t>), and professional standard</w:t>
      </w:r>
      <w:r w:rsidR="007A191E">
        <w:rPr>
          <w:iCs/>
        </w:rPr>
        <w:t xml:space="preserve">s across the health and care sector.  It supports FNHC’s broader aim of maintaining a safe working environment and reducing the likelihood </w:t>
      </w:r>
      <w:r w:rsidR="00171605">
        <w:rPr>
          <w:iCs/>
        </w:rPr>
        <w:t>of healthcare associated infections (HCAIs).</w:t>
      </w:r>
    </w:p>
    <w:p w14:paraId="693247D0" w14:textId="77777777" w:rsidR="00635894" w:rsidRPr="00856DE7" w:rsidRDefault="0069423A" w:rsidP="00AA26D2">
      <w:pPr>
        <w:pStyle w:val="Heading2"/>
      </w:pPr>
      <w:bookmarkStart w:id="2" w:name="_Toc200009599"/>
      <w:r w:rsidRPr="00AA26D2">
        <w:t>Scope</w:t>
      </w:r>
      <w:bookmarkEnd w:id="2"/>
    </w:p>
    <w:p w14:paraId="48F9E5E8" w14:textId="721B7CD4" w:rsidR="0069423A" w:rsidRDefault="001A3F58" w:rsidP="00A33A94">
      <w:pPr>
        <w:rPr>
          <w:iCs/>
        </w:rPr>
      </w:pPr>
      <w:r>
        <w:rPr>
          <w:iCs/>
        </w:rPr>
        <w:t xml:space="preserve">This policy applies to all FNHC employees, students on placement, </w:t>
      </w:r>
      <w:r w:rsidR="00A42B4E">
        <w:rPr>
          <w:iCs/>
        </w:rPr>
        <w:t>agency staff, and co-located staff. It outlines the appropriate management</w:t>
      </w:r>
      <w:r w:rsidR="002802A1">
        <w:rPr>
          <w:iCs/>
        </w:rPr>
        <w:t xml:space="preserve"> of staff who have, or are suspected </w:t>
      </w:r>
      <w:r w:rsidR="005435C3">
        <w:rPr>
          <w:iCs/>
        </w:rPr>
        <w:t>of having</w:t>
      </w:r>
      <w:r w:rsidR="002802A1">
        <w:rPr>
          <w:iCs/>
        </w:rPr>
        <w:t>, an infection that could pose a risk to others in the workplace.</w:t>
      </w:r>
    </w:p>
    <w:p w14:paraId="0DADF8FE" w14:textId="77777777" w:rsidR="001C3CC3" w:rsidRDefault="001C3CC3" w:rsidP="00A33A94">
      <w:pPr>
        <w:rPr>
          <w:iCs/>
        </w:rPr>
      </w:pPr>
    </w:p>
    <w:p w14:paraId="394DBCAB" w14:textId="7515E024" w:rsidR="001C3CC3" w:rsidRDefault="001C3CC3" w:rsidP="00A33A94">
      <w:pPr>
        <w:rPr>
          <w:iCs/>
        </w:rPr>
      </w:pPr>
      <w:r>
        <w:rPr>
          <w:iCs/>
        </w:rPr>
        <w:t>This policy provides guidance on:</w:t>
      </w:r>
    </w:p>
    <w:p w14:paraId="5C015E90" w14:textId="6C6FA9FE" w:rsidR="001C3CC3" w:rsidRDefault="001C3CC3" w:rsidP="001C3CC3">
      <w:pPr>
        <w:pStyle w:val="ListParagraph"/>
        <w:numPr>
          <w:ilvl w:val="0"/>
          <w:numId w:val="28"/>
        </w:numPr>
        <w:rPr>
          <w:iCs/>
        </w:rPr>
      </w:pPr>
      <w:r>
        <w:rPr>
          <w:iCs/>
        </w:rPr>
        <w:t>Identification and reporting infection</w:t>
      </w:r>
      <w:r w:rsidR="00CA062C">
        <w:rPr>
          <w:iCs/>
        </w:rPr>
        <w:t xml:space="preserve"> or exposure to infection</w:t>
      </w:r>
      <w:r w:rsidR="00C47BF6">
        <w:rPr>
          <w:iCs/>
        </w:rPr>
        <w:t>.</w:t>
      </w:r>
    </w:p>
    <w:p w14:paraId="38204E95" w14:textId="12D9787A" w:rsidR="00CA062C" w:rsidRDefault="00CA062C" w:rsidP="001C3CC3">
      <w:pPr>
        <w:pStyle w:val="ListParagraph"/>
        <w:numPr>
          <w:ilvl w:val="0"/>
          <w:numId w:val="28"/>
        </w:numPr>
        <w:rPr>
          <w:iCs/>
        </w:rPr>
      </w:pPr>
      <w:r>
        <w:rPr>
          <w:iCs/>
        </w:rPr>
        <w:t>Risk assessment and referral to Occupational Health or Infection Prevention and Control (</w:t>
      </w:r>
      <w:proofErr w:type="spellStart"/>
      <w:r>
        <w:rPr>
          <w:iCs/>
        </w:rPr>
        <w:t>IPaC</w:t>
      </w:r>
      <w:proofErr w:type="spellEnd"/>
      <w:r>
        <w:rPr>
          <w:iCs/>
        </w:rPr>
        <w:t>)</w:t>
      </w:r>
      <w:r w:rsidR="00C47BF6">
        <w:rPr>
          <w:iCs/>
        </w:rPr>
        <w:t>.</w:t>
      </w:r>
    </w:p>
    <w:p w14:paraId="0DC471C0" w14:textId="3BEF95E5" w:rsidR="00CA062C" w:rsidRDefault="00CA062C" w:rsidP="001C3CC3">
      <w:pPr>
        <w:pStyle w:val="ListParagraph"/>
        <w:numPr>
          <w:ilvl w:val="0"/>
          <w:numId w:val="28"/>
        </w:numPr>
        <w:rPr>
          <w:iCs/>
        </w:rPr>
      </w:pPr>
      <w:r>
        <w:rPr>
          <w:iCs/>
        </w:rPr>
        <w:t>Temporary ex</w:t>
      </w:r>
      <w:r w:rsidR="00850634">
        <w:rPr>
          <w:iCs/>
        </w:rPr>
        <w:t>clusion from work when necessary</w:t>
      </w:r>
      <w:r w:rsidR="00C47BF6">
        <w:rPr>
          <w:iCs/>
        </w:rPr>
        <w:t>.</w:t>
      </w:r>
    </w:p>
    <w:p w14:paraId="2AD1D626" w14:textId="71564728" w:rsidR="00850634" w:rsidRDefault="00850634" w:rsidP="001C3CC3">
      <w:pPr>
        <w:pStyle w:val="ListParagraph"/>
        <w:numPr>
          <w:ilvl w:val="0"/>
          <w:numId w:val="28"/>
        </w:numPr>
        <w:rPr>
          <w:iCs/>
        </w:rPr>
      </w:pPr>
      <w:r>
        <w:rPr>
          <w:iCs/>
        </w:rPr>
        <w:t>Documentation and management of sickness absence related to infection</w:t>
      </w:r>
      <w:r w:rsidR="00C47BF6">
        <w:rPr>
          <w:iCs/>
        </w:rPr>
        <w:t>.</w:t>
      </w:r>
    </w:p>
    <w:p w14:paraId="1A3D321D" w14:textId="77777777" w:rsidR="00227817" w:rsidRDefault="00227817" w:rsidP="00227817">
      <w:pPr>
        <w:rPr>
          <w:iCs/>
        </w:rPr>
      </w:pPr>
    </w:p>
    <w:p w14:paraId="35F5CBF9" w14:textId="77777777" w:rsidR="00546198" w:rsidRPr="00856DE7" w:rsidRDefault="00546198" w:rsidP="00AA26D2">
      <w:pPr>
        <w:pStyle w:val="Heading2"/>
      </w:pPr>
      <w:bookmarkStart w:id="3" w:name="_Toc200009600"/>
      <w:r w:rsidRPr="00856DE7">
        <w:t xml:space="preserve">Role </w:t>
      </w:r>
      <w:r w:rsidRPr="00AA26D2">
        <w:t>and</w:t>
      </w:r>
      <w:r w:rsidRPr="00856DE7">
        <w:t xml:space="preserve"> Responsibilities</w:t>
      </w:r>
      <w:bookmarkEnd w:id="3"/>
    </w:p>
    <w:p w14:paraId="319EEF5E" w14:textId="53197714" w:rsidR="00101BBD" w:rsidRPr="00DF65C6" w:rsidRDefault="008D547B" w:rsidP="00A33A94">
      <w:pPr>
        <w:rPr>
          <w:b/>
          <w:bCs/>
          <w:iCs/>
        </w:rPr>
      </w:pPr>
      <w:r w:rsidRPr="00DF65C6">
        <w:rPr>
          <w:b/>
          <w:bCs/>
          <w:iCs/>
        </w:rPr>
        <w:t>Ch</w:t>
      </w:r>
      <w:r w:rsidR="00EB505D" w:rsidRPr="00DF65C6">
        <w:rPr>
          <w:b/>
          <w:bCs/>
          <w:iCs/>
        </w:rPr>
        <w:t>ief Executive Officer (CEO)</w:t>
      </w:r>
    </w:p>
    <w:p w14:paraId="1FB9B7C9" w14:textId="67826980" w:rsidR="00EB505D" w:rsidRDefault="00EB505D" w:rsidP="00A33A94">
      <w:pPr>
        <w:rPr>
          <w:iCs/>
        </w:rPr>
      </w:pPr>
      <w:r>
        <w:rPr>
          <w:iCs/>
        </w:rPr>
        <w:t xml:space="preserve">The CEO is responsible for ensuring that this policy reflects </w:t>
      </w:r>
      <w:proofErr w:type="spellStart"/>
      <w:r>
        <w:rPr>
          <w:iCs/>
        </w:rPr>
        <w:t>organisational</w:t>
      </w:r>
      <w:proofErr w:type="spellEnd"/>
      <w:r>
        <w:rPr>
          <w:iCs/>
        </w:rPr>
        <w:t xml:space="preserve"> priorities </w:t>
      </w:r>
      <w:r w:rsidR="00DF65C6">
        <w:rPr>
          <w:iCs/>
        </w:rPr>
        <w:t>for</w:t>
      </w:r>
      <w:r>
        <w:rPr>
          <w:iCs/>
        </w:rPr>
        <w:t xml:space="preserve"> infection prevention and staff safety, and that adequate resources are available to </w:t>
      </w:r>
      <w:r w:rsidR="005C0AE2">
        <w:rPr>
          <w:iCs/>
        </w:rPr>
        <w:t>support its implementation.</w:t>
      </w:r>
    </w:p>
    <w:p w14:paraId="7EBC1710" w14:textId="77777777" w:rsidR="005C0AE2" w:rsidRDefault="005C0AE2" w:rsidP="00A33A94">
      <w:pPr>
        <w:rPr>
          <w:iCs/>
        </w:rPr>
      </w:pPr>
    </w:p>
    <w:p w14:paraId="3EC63B8B" w14:textId="0B5099E7" w:rsidR="005C0AE2" w:rsidRPr="00DF65C6" w:rsidRDefault="005C0AE2" w:rsidP="00A33A94">
      <w:pPr>
        <w:rPr>
          <w:b/>
          <w:bCs/>
          <w:iCs/>
        </w:rPr>
      </w:pPr>
      <w:r w:rsidRPr="00DF65C6">
        <w:rPr>
          <w:b/>
          <w:bCs/>
          <w:iCs/>
        </w:rPr>
        <w:t>Director of Governance an</w:t>
      </w:r>
      <w:r w:rsidR="00C524E5" w:rsidRPr="00DF65C6">
        <w:rPr>
          <w:b/>
          <w:bCs/>
          <w:iCs/>
        </w:rPr>
        <w:t>d Care</w:t>
      </w:r>
    </w:p>
    <w:p w14:paraId="0B224748" w14:textId="6785781D" w:rsidR="00C524E5" w:rsidRDefault="00C524E5" w:rsidP="00A33A94">
      <w:pPr>
        <w:rPr>
          <w:iCs/>
        </w:rPr>
      </w:pPr>
      <w:r>
        <w:rPr>
          <w:iCs/>
        </w:rPr>
        <w:t xml:space="preserve">The Director of Governance and Care is responsible for maintaining oversight of this policy, ensuring </w:t>
      </w:r>
      <w:r w:rsidR="006C6750">
        <w:rPr>
          <w:iCs/>
        </w:rPr>
        <w:t xml:space="preserve">alignment with </w:t>
      </w:r>
      <w:r w:rsidR="00DF65C6">
        <w:rPr>
          <w:iCs/>
        </w:rPr>
        <w:t>up-to-date</w:t>
      </w:r>
      <w:r w:rsidR="006C6750">
        <w:rPr>
          <w:iCs/>
        </w:rPr>
        <w:t xml:space="preserve"> clinical guidance, and supporting governance processes for safe staff management when infections are identified.</w:t>
      </w:r>
    </w:p>
    <w:p w14:paraId="143E15AD" w14:textId="77777777" w:rsidR="006C6750" w:rsidRDefault="006C6750" w:rsidP="00A33A94">
      <w:pPr>
        <w:rPr>
          <w:iCs/>
        </w:rPr>
      </w:pPr>
    </w:p>
    <w:p w14:paraId="188885AE" w14:textId="3765BF50" w:rsidR="006C6750" w:rsidRPr="00DF65C6" w:rsidRDefault="006C6750" w:rsidP="00A33A94">
      <w:pPr>
        <w:rPr>
          <w:b/>
          <w:bCs/>
          <w:iCs/>
        </w:rPr>
      </w:pPr>
      <w:r w:rsidRPr="00DF65C6">
        <w:rPr>
          <w:b/>
          <w:bCs/>
          <w:iCs/>
        </w:rPr>
        <w:t>Human Resources Department (HR)</w:t>
      </w:r>
    </w:p>
    <w:p w14:paraId="3E1644AA" w14:textId="43EBFE2A" w:rsidR="006C6750" w:rsidRDefault="006C01D2" w:rsidP="00A33A94">
      <w:pPr>
        <w:rPr>
          <w:iCs/>
        </w:rPr>
      </w:pPr>
      <w:r>
        <w:rPr>
          <w:iCs/>
        </w:rPr>
        <w:t xml:space="preserve">The HR department is responsible for coordinating access to Occupational Health services, ensuring consistent documentation of infection </w:t>
      </w:r>
      <w:r w:rsidR="0010316C">
        <w:rPr>
          <w:iCs/>
        </w:rPr>
        <w:t xml:space="preserve">related absence, and upholding fair and equitable treatment of staff with communicable diseases in line with employment legislation and </w:t>
      </w:r>
      <w:r w:rsidR="007F44EA">
        <w:rPr>
          <w:iCs/>
        </w:rPr>
        <w:t>equality</w:t>
      </w:r>
      <w:r w:rsidR="0010316C">
        <w:rPr>
          <w:iCs/>
        </w:rPr>
        <w:t xml:space="preserve"> principles.</w:t>
      </w:r>
    </w:p>
    <w:p w14:paraId="2B530C83" w14:textId="77777777" w:rsidR="0010316C" w:rsidRDefault="0010316C" w:rsidP="00A33A94">
      <w:pPr>
        <w:rPr>
          <w:iCs/>
        </w:rPr>
      </w:pPr>
    </w:p>
    <w:p w14:paraId="0E98BB85" w14:textId="524D69CC" w:rsidR="0010316C" w:rsidRPr="00DF65C6" w:rsidRDefault="0010316C" w:rsidP="00A33A94">
      <w:pPr>
        <w:rPr>
          <w:b/>
          <w:bCs/>
          <w:iCs/>
        </w:rPr>
      </w:pPr>
      <w:r w:rsidRPr="00DF65C6">
        <w:rPr>
          <w:b/>
          <w:bCs/>
          <w:iCs/>
        </w:rPr>
        <w:t>Operational and Service Leads</w:t>
      </w:r>
    </w:p>
    <w:p w14:paraId="0A2814CE" w14:textId="55465D09" w:rsidR="0010316C" w:rsidRDefault="0010316C" w:rsidP="00A33A94">
      <w:pPr>
        <w:rPr>
          <w:iCs/>
        </w:rPr>
      </w:pPr>
      <w:r>
        <w:rPr>
          <w:iCs/>
        </w:rPr>
        <w:t xml:space="preserve">Operational and Service Leads are responsible for </w:t>
      </w:r>
      <w:r w:rsidR="00746BFD">
        <w:rPr>
          <w:iCs/>
        </w:rPr>
        <w:t xml:space="preserve">embedding this policy within their teams, supporting line managers, and ensuring appropriate escalation to Infection Prevention and </w:t>
      </w:r>
      <w:r w:rsidR="004E2C50">
        <w:rPr>
          <w:iCs/>
        </w:rPr>
        <w:t>Control or Human Resources as required.</w:t>
      </w:r>
    </w:p>
    <w:p w14:paraId="547452B0" w14:textId="77777777" w:rsidR="004E2C50" w:rsidRDefault="004E2C50" w:rsidP="00A33A94">
      <w:pPr>
        <w:rPr>
          <w:iCs/>
        </w:rPr>
      </w:pPr>
    </w:p>
    <w:p w14:paraId="2AC423B0" w14:textId="48720895" w:rsidR="004E2C50" w:rsidRPr="00DF65C6" w:rsidRDefault="004E2C50" w:rsidP="00A33A94">
      <w:pPr>
        <w:rPr>
          <w:b/>
          <w:bCs/>
          <w:iCs/>
        </w:rPr>
      </w:pPr>
      <w:r w:rsidRPr="00DF65C6">
        <w:rPr>
          <w:b/>
          <w:bCs/>
          <w:iCs/>
        </w:rPr>
        <w:t>Line Managers</w:t>
      </w:r>
    </w:p>
    <w:p w14:paraId="3A930BB2" w14:textId="2810475F" w:rsidR="004E2C50" w:rsidRDefault="004E2C50" w:rsidP="00A33A94">
      <w:pPr>
        <w:rPr>
          <w:iCs/>
        </w:rPr>
      </w:pPr>
      <w:r>
        <w:rPr>
          <w:iCs/>
        </w:rPr>
        <w:t xml:space="preserve">Line Managers are responsible for applying this </w:t>
      </w:r>
      <w:r w:rsidR="007F44EA">
        <w:rPr>
          <w:iCs/>
        </w:rPr>
        <w:t>policy</w:t>
      </w:r>
      <w:r>
        <w:rPr>
          <w:iCs/>
        </w:rPr>
        <w:t xml:space="preserve"> consistently, advising staff on appropriate actions when infections or exposure </w:t>
      </w:r>
      <w:r w:rsidR="00DF65C6">
        <w:rPr>
          <w:iCs/>
        </w:rPr>
        <w:t>occur</w:t>
      </w:r>
      <w:r>
        <w:rPr>
          <w:iCs/>
        </w:rPr>
        <w:t xml:space="preserve">, and facilitating </w:t>
      </w:r>
      <w:r w:rsidR="00463B86">
        <w:rPr>
          <w:iCs/>
        </w:rPr>
        <w:t xml:space="preserve">prompt referral to Occupational Health or </w:t>
      </w:r>
      <w:proofErr w:type="spellStart"/>
      <w:r w:rsidR="00463B86">
        <w:rPr>
          <w:iCs/>
        </w:rPr>
        <w:t>IPaC</w:t>
      </w:r>
      <w:proofErr w:type="spellEnd"/>
      <w:r w:rsidR="00463B86">
        <w:rPr>
          <w:iCs/>
        </w:rPr>
        <w:t xml:space="preserve"> when needed.</w:t>
      </w:r>
    </w:p>
    <w:p w14:paraId="32815712" w14:textId="77777777" w:rsidR="00463B86" w:rsidRDefault="00463B86" w:rsidP="00A33A94">
      <w:pPr>
        <w:rPr>
          <w:iCs/>
        </w:rPr>
      </w:pPr>
    </w:p>
    <w:p w14:paraId="491E4AC5" w14:textId="13686DF3" w:rsidR="00463B86" w:rsidRPr="00DF65C6" w:rsidRDefault="00463B86" w:rsidP="00A33A94">
      <w:pPr>
        <w:rPr>
          <w:b/>
          <w:bCs/>
          <w:iCs/>
        </w:rPr>
      </w:pPr>
      <w:r w:rsidRPr="00DF65C6">
        <w:rPr>
          <w:b/>
          <w:bCs/>
          <w:iCs/>
        </w:rPr>
        <w:t>All Staff</w:t>
      </w:r>
    </w:p>
    <w:p w14:paraId="7021AC22" w14:textId="68DA6515" w:rsidR="00463B86" w:rsidRDefault="00463B86" w:rsidP="00A33A94">
      <w:pPr>
        <w:rPr>
          <w:iCs/>
        </w:rPr>
      </w:pPr>
      <w:r>
        <w:rPr>
          <w:iCs/>
        </w:rPr>
        <w:t>All employees are expected to comply with this policy</w:t>
      </w:r>
      <w:r w:rsidR="007F44EA">
        <w:rPr>
          <w:iCs/>
        </w:rPr>
        <w:t>, report any suspected or confirmed infection or exposure promptly, and participate in any assessments, reviews, or preventative actions that are necessary to protect colleagues and service users.</w:t>
      </w:r>
    </w:p>
    <w:p w14:paraId="6953DC10" w14:textId="77777777" w:rsidR="006C6750" w:rsidRPr="008D547B" w:rsidRDefault="006C6750" w:rsidP="00A33A94">
      <w:pPr>
        <w:rPr>
          <w:iCs/>
        </w:rPr>
      </w:pPr>
    </w:p>
    <w:p w14:paraId="3951AFCE" w14:textId="77777777" w:rsidR="00B850FE" w:rsidRPr="00856DE7" w:rsidRDefault="00942F86" w:rsidP="00A50DC5">
      <w:pPr>
        <w:pStyle w:val="Heading1"/>
        <w:ind w:hanging="530"/>
      </w:pPr>
      <w:bookmarkStart w:id="4" w:name="_Toc200009601"/>
      <w:r w:rsidRPr="00856DE7">
        <w:t>POLICY</w:t>
      </w:r>
      <w:bookmarkEnd w:id="4"/>
    </w:p>
    <w:p w14:paraId="59548A82" w14:textId="441D12A8" w:rsidR="00A50DC5" w:rsidRDefault="001F0EA3" w:rsidP="00A33A94">
      <w:pPr>
        <w:pStyle w:val="Heading2"/>
      </w:pPr>
      <w:bookmarkStart w:id="5" w:name="_Toc200009602"/>
      <w:r>
        <w:t>General Principles</w:t>
      </w:r>
      <w:bookmarkEnd w:id="5"/>
    </w:p>
    <w:p w14:paraId="0053871B" w14:textId="00E135FB" w:rsidR="00496B31" w:rsidRDefault="0023202F" w:rsidP="00496B31">
      <w:r>
        <w:t xml:space="preserve">The health, wellbeing and safety of both staff and service users are of utmost importance to FNHC.  All reasonable steps must be taken to protect healthcare workers from exposure to communicable </w:t>
      </w:r>
      <w:r w:rsidR="00346F92">
        <w:t>infections and to prevent the avoidable spread of infection in the workplace.</w:t>
      </w:r>
    </w:p>
    <w:p w14:paraId="757D03D7" w14:textId="77777777" w:rsidR="00346F92" w:rsidRDefault="00346F92" w:rsidP="00496B31"/>
    <w:p w14:paraId="75295E6A" w14:textId="5130D10C" w:rsidR="00346F92" w:rsidRDefault="00346F92" w:rsidP="00496B31">
      <w:r>
        <w:lastRenderedPageBreak/>
        <w:t xml:space="preserve">Infection prevention is a shared responsibility.  All staff must be educated in standard infection </w:t>
      </w:r>
      <w:r w:rsidR="0051333C">
        <w:t>prevention</w:t>
      </w:r>
      <w:r>
        <w:t xml:space="preserve"> and </w:t>
      </w:r>
      <w:r w:rsidR="0051333C">
        <w:t>prevention</w:t>
      </w:r>
      <w:r>
        <w:t xml:space="preserve"> (</w:t>
      </w:r>
      <w:proofErr w:type="spellStart"/>
      <w:r>
        <w:t>IPaC</w:t>
      </w:r>
      <w:proofErr w:type="spellEnd"/>
      <w:r>
        <w:t xml:space="preserve">) </w:t>
      </w:r>
      <w:r w:rsidR="00B34E8C">
        <w:t xml:space="preserve">practices and should understand the </w:t>
      </w:r>
      <w:r w:rsidR="0051333C">
        <w:t>principles</w:t>
      </w:r>
      <w:r w:rsidR="00B34E8C">
        <w:t xml:space="preserve"> of risk reduction, including the appropriate </w:t>
      </w:r>
      <w:r w:rsidR="007E5CB0">
        <w:t xml:space="preserve">use of personal protective equipment (PPE), hand hygiene, respiratory </w:t>
      </w:r>
      <w:r w:rsidR="001F4E70">
        <w:t>etiquette, and early reporting of symptoms.</w:t>
      </w:r>
    </w:p>
    <w:p w14:paraId="6284BAEC" w14:textId="77777777" w:rsidR="001F4E70" w:rsidRDefault="001F4E70" w:rsidP="00496B31"/>
    <w:p w14:paraId="45A5CC8B" w14:textId="044E8B84" w:rsidR="001F4E70" w:rsidRDefault="001F4E70" w:rsidP="00496B31">
      <w:r>
        <w:t>Where there is a risk of transmission, temporary exclusion from work may be necessary as part of a p</w:t>
      </w:r>
      <w:r w:rsidR="00F30E57">
        <w:t xml:space="preserve">roportionate response.  However, preventative measures such as </w:t>
      </w:r>
      <w:r w:rsidR="00EE0360">
        <w:t xml:space="preserve">effective hand hygiene, vaccination and adherence to </w:t>
      </w:r>
      <w:proofErr w:type="spellStart"/>
      <w:r w:rsidR="001D6A95">
        <w:t>IPaC</w:t>
      </w:r>
      <w:proofErr w:type="spellEnd"/>
      <w:r w:rsidR="001D6A95">
        <w:t xml:space="preserve"> protocols remain the foundation of safe practice.</w:t>
      </w:r>
    </w:p>
    <w:p w14:paraId="5A708B66" w14:textId="77777777" w:rsidR="001D6A95" w:rsidRDefault="001D6A95" w:rsidP="00496B31"/>
    <w:p w14:paraId="73D38D4B" w14:textId="469BFD78" w:rsidR="001D6A95" w:rsidRDefault="001D6A95" w:rsidP="00496B31">
      <w:r>
        <w:t xml:space="preserve">Staff must not be discriminated against </w:t>
      </w:r>
      <w:r w:rsidR="0051333C">
        <w:t>because of</w:t>
      </w:r>
      <w:r>
        <w:t xml:space="preserve"> </w:t>
      </w:r>
      <w:r w:rsidR="0051333C">
        <w:t xml:space="preserve">a </w:t>
      </w:r>
      <w:r>
        <w:t xml:space="preserve">communicable infection.  All </w:t>
      </w:r>
      <w:r w:rsidR="0051333C">
        <w:t>information</w:t>
      </w:r>
      <w:r>
        <w:t xml:space="preserve"> relating to staff health must be treated </w:t>
      </w:r>
      <w:r w:rsidR="0051333C">
        <w:t>with</w:t>
      </w:r>
      <w:r>
        <w:t xml:space="preserve"> strict confidence </w:t>
      </w:r>
      <w:r w:rsidR="00DA00FB">
        <w:t xml:space="preserve">and in accordance with Data Protection legislation and professional </w:t>
      </w:r>
      <w:r w:rsidR="0051333C">
        <w:t>standards.</w:t>
      </w:r>
    </w:p>
    <w:p w14:paraId="5143D235" w14:textId="77777777" w:rsidR="00241F4D" w:rsidRPr="00496B31" w:rsidRDefault="00241F4D" w:rsidP="00496B31"/>
    <w:p w14:paraId="414DA3A5" w14:textId="77777777" w:rsidR="001F0EA3" w:rsidRDefault="001F0EA3" w:rsidP="001F0EA3">
      <w:pPr>
        <w:pStyle w:val="Heading2"/>
      </w:pPr>
      <w:bookmarkStart w:id="6" w:name="_Toc200009603"/>
      <w:r>
        <w:t>Infections in Healthcare Staff</w:t>
      </w:r>
      <w:bookmarkEnd w:id="6"/>
    </w:p>
    <w:p w14:paraId="7AC48A00" w14:textId="56ED9263" w:rsidR="005C5877" w:rsidRDefault="005C5877" w:rsidP="005C5877">
      <w:r>
        <w:t xml:space="preserve">Staff may develop or be exposed to infections that have the potential to be transmitted to others in the course of their duties.  Some </w:t>
      </w:r>
      <w:r w:rsidR="00E57F75">
        <w:t>infections</w:t>
      </w:r>
      <w:r>
        <w:t xml:space="preserve"> may be minor and </w:t>
      </w:r>
      <w:r w:rsidR="00E57F75">
        <w:t>self-limiting</w:t>
      </w:r>
      <w:r>
        <w:t xml:space="preserve">, requiring only good personal hygiene and </w:t>
      </w:r>
      <w:r w:rsidR="00E57F75">
        <w:t>self-care</w:t>
      </w:r>
      <w:r>
        <w:t xml:space="preserve">.  Others may pose a significant risk </w:t>
      </w:r>
      <w:r w:rsidR="008730EF">
        <w:t xml:space="preserve">to </w:t>
      </w:r>
      <w:r w:rsidR="00E57F75">
        <w:t>colleagues</w:t>
      </w:r>
      <w:r w:rsidR="008730EF">
        <w:t xml:space="preserve"> or service users and require temporary exclusion from work, specialist advice or medical treatment.</w:t>
      </w:r>
    </w:p>
    <w:p w14:paraId="3AB01B21" w14:textId="77777777" w:rsidR="008730EF" w:rsidRDefault="008730EF" w:rsidP="005C5877"/>
    <w:p w14:paraId="53DC72F6" w14:textId="48BB574C" w:rsidR="008730EF" w:rsidRDefault="008730EF" w:rsidP="005C5877">
      <w:r>
        <w:t xml:space="preserve">Where an </w:t>
      </w:r>
      <w:r w:rsidR="002967B1">
        <w:t>infection</w:t>
      </w:r>
      <w:r>
        <w:t xml:space="preserve"> is suspected or confirme</w:t>
      </w:r>
      <w:r w:rsidR="00BB6B46">
        <w:t>d, staff are ex</w:t>
      </w:r>
      <w:r w:rsidR="00E57F75">
        <w:t>p</w:t>
      </w:r>
      <w:r w:rsidR="00BB6B46">
        <w:t xml:space="preserve">ected to consult their GP and follow clinical advice.  </w:t>
      </w:r>
      <w:r w:rsidR="00063CDF">
        <w:t xml:space="preserve">The </w:t>
      </w:r>
      <w:r w:rsidR="00BB6B46">
        <w:t>Occupational Health</w:t>
      </w:r>
      <w:r w:rsidR="00063CDF">
        <w:t xml:space="preserve"> provider for FNHC</w:t>
      </w:r>
      <w:r w:rsidR="00BB6B46">
        <w:t xml:space="preserve"> or the </w:t>
      </w:r>
      <w:proofErr w:type="spellStart"/>
      <w:r w:rsidR="00B522D1">
        <w:t>IPaC</w:t>
      </w:r>
      <w:proofErr w:type="spellEnd"/>
      <w:r w:rsidR="00B522D1">
        <w:t xml:space="preserve"> team may provide additional input, particularly where workplace risk assessment or contact tracing is required.</w:t>
      </w:r>
    </w:p>
    <w:p w14:paraId="2CC95C39" w14:textId="77777777" w:rsidR="00ED063B" w:rsidRDefault="00ED063B" w:rsidP="005C5877"/>
    <w:p w14:paraId="13155B71" w14:textId="44844EB2" w:rsidR="00ED063B" w:rsidRDefault="002967B1" w:rsidP="005C5877">
      <w:r>
        <w:t>Any</w:t>
      </w:r>
      <w:r w:rsidR="00ED063B">
        <w:t xml:space="preserve"> staff member who may pose a risk of infection </w:t>
      </w:r>
      <w:r w:rsidR="00DB3DFE">
        <w:t>transmission, or those whose health status could compromise the safety of patients or colleagues, may be required to refrain from work p</w:t>
      </w:r>
      <w:r w:rsidR="00A800DF">
        <w:t>e</w:t>
      </w:r>
      <w:r w:rsidR="00DB3DFE">
        <w:t xml:space="preserve">nding further assessment. </w:t>
      </w:r>
    </w:p>
    <w:p w14:paraId="6A2AE7EE" w14:textId="77777777" w:rsidR="00FB5630" w:rsidRDefault="00FB5630" w:rsidP="005C5877"/>
    <w:p w14:paraId="13D4E8C1" w14:textId="3ABF61B8" w:rsidR="00FB5630" w:rsidRDefault="00404B5A" w:rsidP="005C5877">
      <w:r w:rsidRPr="00C11EB6">
        <w:t xml:space="preserve">Managers and staff must seek and follow the most up-to-date infection-specific guidance. Managers should also consult </w:t>
      </w:r>
      <w:r w:rsidR="00FE6502">
        <w:t xml:space="preserve">FNHC’s </w:t>
      </w:r>
      <w:r w:rsidRPr="00C11EB6">
        <w:t>Occupational Health</w:t>
      </w:r>
      <w:r w:rsidR="00FE6502">
        <w:t xml:space="preserve"> Provider for advice </w:t>
      </w:r>
      <w:r w:rsidRPr="00C11EB6">
        <w:t>where appropriate.</w:t>
      </w:r>
    </w:p>
    <w:p w14:paraId="2936E94A" w14:textId="77777777" w:rsidR="006A5281" w:rsidRPr="005C5877" w:rsidRDefault="006A5281" w:rsidP="0000424D"/>
    <w:p w14:paraId="3CBED10F" w14:textId="2363C542" w:rsidR="001F0EA3" w:rsidRDefault="001F0EA3" w:rsidP="001F0EA3">
      <w:pPr>
        <w:pStyle w:val="Heading2"/>
      </w:pPr>
      <w:bookmarkStart w:id="7" w:name="_Toc200009604"/>
      <w:r>
        <w:lastRenderedPageBreak/>
        <w:t>Vulnerable Staff</w:t>
      </w:r>
      <w:bookmarkEnd w:id="7"/>
    </w:p>
    <w:p w14:paraId="5DA48F5D" w14:textId="77777777" w:rsidR="0000423A" w:rsidRDefault="0000423A" w:rsidP="0000423A">
      <w:r>
        <w:t>Some staff may have underlying health conditions or medical treatments that increase their vulnerability to infections that would not usually pose significant risks to healthy individuals. These may include:</w:t>
      </w:r>
    </w:p>
    <w:p w14:paraId="70AB130A" w14:textId="77777777" w:rsidR="0000423A" w:rsidRDefault="0000423A" w:rsidP="0000423A">
      <w:pPr>
        <w:pStyle w:val="ListParagraph"/>
        <w:numPr>
          <w:ilvl w:val="0"/>
          <w:numId w:val="30"/>
        </w:numPr>
      </w:pPr>
      <w:r>
        <w:t>Individuals undergoing treatment for cancer or immune system disorders</w:t>
      </w:r>
    </w:p>
    <w:p w14:paraId="19D724F7" w14:textId="77777777" w:rsidR="0000423A" w:rsidRDefault="0000423A" w:rsidP="0000423A">
      <w:pPr>
        <w:pStyle w:val="ListParagraph"/>
        <w:numPr>
          <w:ilvl w:val="0"/>
          <w:numId w:val="30"/>
        </w:numPr>
      </w:pPr>
      <w:r>
        <w:t>Those receiving high-dose corticosteroids or other immunosuppressive therapies</w:t>
      </w:r>
    </w:p>
    <w:p w14:paraId="20EA5395" w14:textId="77777777" w:rsidR="0000423A" w:rsidRDefault="0000423A" w:rsidP="0000423A">
      <w:pPr>
        <w:pStyle w:val="ListParagraph"/>
        <w:numPr>
          <w:ilvl w:val="0"/>
          <w:numId w:val="30"/>
        </w:numPr>
      </w:pPr>
      <w:r>
        <w:t>Staff with congenital or acquired conditions affecting immunity</w:t>
      </w:r>
    </w:p>
    <w:p w14:paraId="1C29B6FD" w14:textId="435B4EC9" w:rsidR="0000423A" w:rsidRDefault="0000423A" w:rsidP="0000423A">
      <w:pPr>
        <w:pStyle w:val="ListParagraph"/>
        <w:numPr>
          <w:ilvl w:val="0"/>
          <w:numId w:val="30"/>
        </w:numPr>
      </w:pPr>
      <w:r>
        <w:t xml:space="preserve">Staff with complex, long-term health conditions, including those </w:t>
      </w:r>
      <w:proofErr w:type="spellStart"/>
      <w:r>
        <w:t>recognised</w:t>
      </w:r>
      <w:proofErr w:type="spellEnd"/>
      <w:r>
        <w:t xml:space="preserve"> as clinically vulnerable or extremely vulnerable</w:t>
      </w:r>
    </w:p>
    <w:p w14:paraId="075DC92D" w14:textId="77777777" w:rsidR="0000423A" w:rsidRDefault="0000423A" w:rsidP="0000423A"/>
    <w:p w14:paraId="33FB7ED7" w14:textId="77777777" w:rsidR="0000423A" w:rsidRDefault="0000423A" w:rsidP="0000423A">
      <w:r>
        <w:t>Vulnerable staff should inform their line manager and Occupational Health of any known risks. Where necessary, a risk assessment will be completed in consultation with Occupational Health and the Infection Prevention and Control (</w:t>
      </w:r>
      <w:proofErr w:type="spellStart"/>
      <w:r>
        <w:t>IPaC</w:t>
      </w:r>
      <w:proofErr w:type="spellEnd"/>
      <w:r>
        <w:t>) Team.</w:t>
      </w:r>
    </w:p>
    <w:p w14:paraId="523DE07C" w14:textId="77777777" w:rsidR="0000423A" w:rsidRDefault="0000423A" w:rsidP="0000423A"/>
    <w:p w14:paraId="32B73142" w14:textId="2AD9E1D8" w:rsidR="0000423A" w:rsidRDefault="0000423A" w:rsidP="0000423A">
      <w:r>
        <w:t>Managers must remain alert to evolving infections, such as seasonal influenza or emerging pathogens, which may present additional risks for vulnerable individuals. Reasonable adjustments to duties or work environments should be considered where appropriate, in line with the Health and Safety at Work Act (1974) and the Equality Act (2010).</w:t>
      </w:r>
    </w:p>
    <w:p w14:paraId="3AA3411D" w14:textId="77777777" w:rsidR="00E640FF" w:rsidRPr="0000423A" w:rsidRDefault="00E640FF" w:rsidP="0000423A"/>
    <w:p w14:paraId="2A28920C" w14:textId="4E995274" w:rsidR="00CA6F00" w:rsidRDefault="00CA6F00" w:rsidP="00CA6F00">
      <w:pPr>
        <w:pStyle w:val="Heading2"/>
      </w:pPr>
      <w:bookmarkStart w:id="8" w:name="_Toc200009605"/>
      <w:r>
        <w:t>Pregnancy</w:t>
      </w:r>
      <w:bookmarkEnd w:id="8"/>
    </w:p>
    <w:p w14:paraId="22E4CA35" w14:textId="54467144" w:rsidR="00C42C24" w:rsidRDefault="00C42C24" w:rsidP="00C42C24">
      <w:r>
        <w:t xml:space="preserve">Pregnant staff may be at increased risk from certain infections, which can have implications for both maternal health and the developing </w:t>
      </w:r>
      <w:proofErr w:type="spellStart"/>
      <w:r>
        <w:t>f</w:t>
      </w:r>
      <w:r w:rsidR="00790169">
        <w:t>o</w:t>
      </w:r>
      <w:r>
        <w:t>etus</w:t>
      </w:r>
      <w:proofErr w:type="spellEnd"/>
      <w:r>
        <w:t>. Common infections of concern include rubella, parvovirus B19, cytomegalovirus (CMV), varicella (chickenpox), and influenza.</w:t>
      </w:r>
    </w:p>
    <w:p w14:paraId="3E2E24B4" w14:textId="77777777" w:rsidR="00C42C24" w:rsidRDefault="00C42C24" w:rsidP="00C42C24"/>
    <w:p w14:paraId="0B42D1E1" w14:textId="77777777" w:rsidR="00C42C24" w:rsidRDefault="00C42C24" w:rsidP="00C42C24">
      <w:r>
        <w:t>Pregnant employees should inform their line manager at the earliest opportunity. A pregnancy risk assessment must be completed promptly in accordance with the Management of Health and Safety at Work Regulations (1999) and UK Health Security Agency (UKHSA) guidance on infections in pregnancy.</w:t>
      </w:r>
    </w:p>
    <w:p w14:paraId="1D7A58F7" w14:textId="77777777" w:rsidR="00C42C24" w:rsidRDefault="00C42C24" w:rsidP="00C42C24"/>
    <w:p w14:paraId="7D6263E6" w14:textId="31F61F8B" w:rsidR="00C42C24" w:rsidRDefault="00C42C24" w:rsidP="00C42C24">
      <w:r>
        <w:t>Where required, advice should be sought from Occupational Health, the Infection Prevention and Control (</w:t>
      </w:r>
      <w:proofErr w:type="spellStart"/>
      <w:r>
        <w:t>IPaC</w:t>
      </w:r>
      <w:proofErr w:type="spellEnd"/>
      <w:r>
        <w:t xml:space="preserve">) Team, or the individual’s GP or </w:t>
      </w:r>
      <w:r w:rsidR="00DE34D4">
        <w:t>M</w:t>
      </w:r>
      <w:r>
        <w:t xml:space="preserve">idwife. Reasonable adjustments or temporary changes to duties may be necessary to </w:t>
      </w:r>
      <w:proofErr w:type="spellStart"/>
      <w:r>
        <w:t>minimise</w:t>
      </w:r>
      <w:proofErr w:type="spellEnd"/>
      <w:r>
        <w:t xml:space="preserve"> risks.</w:t>
      </w:r>
    </w:p>
    <w:p w14:paraId="3D7080CE" w14:textId="77777777" w:rsidR="00C42C24" w:rsidRPr="00C42C24" w:rsidRDefault="00C42C24" w:rsidP="00C42C24"/>
    <w:p w14:paraId="07206844" w14:textId="57A14505" w:rsidR="00CA6F00" w:rsidRPr="00CA6F00" w:rsidRDefault="00CA6F00" w:rsidP="00CA6F00">
      <w:pPr>
        <w:pStyle w:val="Heading2"/>
      </w:pPr>
      <w:bookmarkStart w:id="9" w:name="_Toc200009606"/>
      <w:r>
        <w:lastRenderedPageBreak/>
        <w:t>Exclusion from Work</w:t>
      </w:r>
      <w:bookmarkEnd w:id="9"/>
    </w:p>
    <w:p w14:paraId="24B74C34" w14:textId="77777777" w:rsidR="00E57F71" w:rsidRDefault="00E57F71" w:rsidP="00E57F71">
      <w:r>
        <w:t>In certain circumstances, staff may need to be excluded from the workplace to prevent the risk of infection transmission, even if they are not acutely unwell. Scenarios may include:</w:t>
      </w:r>
    </w:p>
    <w:p w14:paraId="0D3162DA" w14:textId="77777777" w:rsidR="008C48F3" w:rsidRDefault="00E57F71" w:rsidP="00E57F71">
      <w:pPr>
        <w:pStyle w:val="ListParagraph"/>
        <w:numPr>
          <w:ilvl w:val="0"/>
          <w:numId w:val="31"/>
        </w:numPr>
      </w:pPr>
      <w:proofErr w:type="spellStart"/>
      <w:r>
        <w:t>Colonisation</w:t>
      </w:r>
      <w:proofErr w:type="spellEnd"/>
      <w:r>
        <w:t xml:space="preserve"> with transmissible microorganisms that could pose a risk to patients or colleagues (e.g. MRSA carriage)</w:t>
      </w:r>
    </w:p>
    <w:p w14:paraId="24E8AB43" w14:textId="77777777" w:rsidR="008C48F3" w:rsidRDefault="00E57F71" w:rsidP="00E57F71">
      <w:pPr>
        <w:pStyle w:val="ListParagraph"/>
        <w:numPr>
          <w:ilvl w:val="0"/>
          <w:numId w:val="31"/>
        </w:numPr>
      </w:pPr>
      <w:r>
        <w:t>Significant exposure to an infectious agent, particularly when the staff member is non-immune and may develop symptoms during the incubation period (e.g. varicella-zoster virus)</w:t>
      </w:r>
    </w:p>
    <w:p w14:paraId="016E0201" w14:textId="6D0CF38F" w:rsidR="00E57F71" w:rsidRDefault="00E57F71" w:rsidP="00E57F71">
      <w:pPr>
        <w:pStyle w:val="ListParagraph"/>
        <w:numPr>
          <w:ilvl w:val="0"/>
          <w:numId w:val="31"/>
        </w:numPr>
      </w:pPr>
      <w:r>
        <w:t xml:space="preserve">Presence of a confirmed infection or symptoms suggestive of an infectious illness (e.g. </w:t>
      </w:r>
      <w:proofErr w:type="spellStart"/>
      <w:r>
        <w:t>diarrhoea</w:t>
      </w:r>
      <w:proofErr w:type="spellEnd"/>
      <w:r>
        <w:t>, vomiting, respiratory illness)</w:t>
      </w:r>
    </w:p>
    <w:p w14:paraId="744FA0CC" w14:textId="77777777" w:rsidR="00E57F71" w:rsidRDefault="00E57F71" w:rsidP="00E57F71"/>
    <w:p w14:paraId="4A6DA8E9" w14:textId="77777777" w:rsidR="008C48F3" w:rsidRDefault="00E57F71" w:rsidP="00E57F71">
      <w:r>
        <w:t xml:space="preserve">Decisions about exclusion from work should </w:t>
      </w:r>
      <w:proofErr w:type="gramStart"/>
      <w:r>
        <w:t>take into account</w:t>
      </w:r>
      <w:proofErr w:type="gramEnd"/>
      <w:r>
        <w:t>:</w:t>
      </w:r>
    </w:p>
    <w:p w14:paraId="5C8EDF77" w14:textId="77777777" w:rsidR="008C48F3" w:rsidRDefault="00E57F71" w:rsidP="00E57F71">
      <w:pPr>
        <w:pStyle w:val="ListParagraph"/>
        <w:numPr>
          <w:ilvl w:val="0"/>
          <w:numId w:val="32"/>
        </w:numPr>
      </w:pPr>
      <w:r>
        <w:t>The nature of the infection and its mode of transmission</w:t>
      </w:r>
    </w:p>
    <w:p w14:paraId="4FFC8882" w14:textId="77777777" w:rsidR="008C48F3" w:rsidRDefault="00E57F71" w:rsidP="00E57F71">
      <w:pPr>
        <w:pStyle w:val="ListParagraph"/>
        <w:numPr>
          <w:ilvl w:val="0"/>
          <w:numId w:val="32"/>
        </w:numPr>
      </w:pPr>
      <w:r>
        <w:t>The staff member’s role and the vulnerability of those they work with</w:t>
      </w:r>
    </w:p>
    <w:p w14:paraId="4B5F6F47" w14:textId="5A001398" w:rsidR="00E57F71" w:rsidRDefault="00E57F71" w:rsidP="00E57F71">
      <w:pPr>
        <w:pStyle w:val="ListParagraph"/>
        <w:numPr>
          <w:ilvl w:val="0"/>
          <w:numId w:val="32"/>
        </w:numPr>
      </w:pPr>
      <w:r>
        <w:t>Relevant risk assessments and up-to-date infection prevention and control guidance</w:t>
      </w:r>
    </w:p>
    <w:p w14:paraId="273CD98D" w14:textId="77777777" w:rsidR="00E57F71" w:rsidRDefault="00E57F71" w:rsidP="00E57F71"/>
    <w:p w14:paraId="616E3EDE" w14:textId="6472D022" w:rsidR="001F0EA3" w:rsidRPr="001F0EA3" w:rsidRDefault="00E57F71" w:rsidP="00E57F71">
      <w:r>
        <w:t>Return to work should be guided by clinical advice from the staff member’s GP, Occupational Health, or the Infection Prevention and Control (</w:t>
      </w:r>
      <w:proofErr w:type="spellStart"/>
      <w:r>
        <w:t>IPaC</w:t>
      </w:r>
      <w:proofErr w:type="spellEnd"/>
      <w:r>
        <w:t>) Team, with consideration of any necessary workplace adjustments or temporary redeployment where appropriate.</w:t>
      </w:r>
    </w:p>
    <w:p w14:paraId="57F25D2D" w14:textId="77777777" w:rsidR="00101BBD" w:rsidRPr="00856DE7" w:rsidRDefault="00942F86" w:rsidP="00A33A94">
      <w:pPr>
        <w:pStyle w:val="Heading1"/>
      </w:pPr>
      <w:bookmarkStart w:id="10" w:name="_Toc200009607"/>
      <w:r w:rsidRPr="00A33A94">
        <w:t>PROCEDURE</w:t>
      </w:r>
      <w:bookmarkEnd w:id="10"/>
    </w:p>
    <w:p w14:paraId="070B114C" w14:textId="629CB1AC" w:rsidR="004D25D5" w:rsidRDefault="00796F5C" w:rsidP="00AA26D2">
      <w:pPr>
        <w:pStyle w:val="Heading2"/>
      </w:pPr>
      <w:bookmarkStart w:id="11" w:name="_Toc200009608"/>
      <w:r>
        <w:t>S</w:t>
      </w:r>
      <w:r w:rsidR="00AF3CDF">
        <w:t xml:space="preserve">ummary </w:t>
      </w:r>
      <w:r w:rsidR="00080DD3">
        <w:t>of Work Restrictions for Healthcare Workers</w:t>
      </w:r>
      <w:bookmarkEnd w:id="11"/>
    </w:p>
    <w:p w14:paraId="44FDF4D3" w14:textId="77777777" w:rsidR="00080DD3" w:rsidRDefault="00080DD3" w:rsidP="00080DD3">
      <w:r>
        <w:t>The table below provides general guidance on managing common infectious conditions that staff may encounter. These recommendations are based on current UK Health Security Agency (UKHSA), NHS National Infection Prevention and Control Manual (NIPCM), and Jersey Infection Prevention and Control (</w:t>
      </w:r>
      <w:proofErr w:type="spellStart"/>
      <w:r>
        <w:t>IPaC</w:t>
      </w:r>
      <w:proofErr w:type="spellEnd"/>
      <w:r>
        <w:t>) guidance.</w:t>
      </w:r>
    </w:p>
    <w:p w14:paraId="5DA610BA" w14:textId="77777777" w:rsidR="00080DD3" w:rsidRDefault="00080DD3" w:rsidP="00080DD3"/>
    <w:p w14:paraId="46DC93C0" w14:textId="77777777" w:rsidR="00080DD3" w:rsidRDefault="00080DD3" w:rsidP="00080DD3">
      <w:r>
        <w:t>Specific advice should be sought from Occupational Health or the Infection Prevention and Control (</w:t>
      </w:r>
      <w:proofErr w:type="spellStart"/>
      <w:r>
        <w:t>IPaC</w:t>
      </w:r>
      <w:proofErr w:type="spellEnd"/>
      <w:r>
        <w:t>) Team for individual cases or where emerging infections are concerned.</w:t>
      </w:r>
    </w:p>
    <w:p w14:paraId="171D00F9" w14:textId="77777777" w:rsidR="00080DD3" w:rsidRDefault="00080DD3" w:rsidP="00080DD3"/>
    <w:p w14:paraId="61781996" w14:textId="4EBB0A3A" w:rsidR="00080DD3" w:rsidRDefault="00080DD3" w:rsidP="00080DD3">
      <w:r>
        <w:t>Note: Infection guidance is regularly updated in response to evolving evidence and local epidemiology. Staff and managers must always refer to the most current advice at the time of an incident.</w:t>
      </w:r>
    </w:p>
    <w:p w14:paraId="6A12597C" w14:textId="77777777" w:rsidR="00883C81" w:rsidRDefault="00883C81" w:rsidP="00080DD3"/>
    <w:tbl>
      <w:tblPr>
        <w:tblStyle w:val="ListTable3-Accent1"/>
        <w:tblW w:w="9209" w:type="dxa"/>
        <w:tblLook w:val="04A0" w:firstRow="1" w:lastRow="0" w:firstColumn="1" w:lastColumn="0" w:noHBand="0" w:noVBand="1"/>
      </w:tblPr>
      <w:tblGrid>
        <w:gridCol w:w="2254"/>
        <w:gridCol w:w="3477"/>
        <w:gridCol w:w="3478"/>
      </w:tblGrid>
      <w:tr w:rsidR="009C46DB" w14:paraId="6DE41FC7" w14:textId="77777777" w:rsidTr="00F553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54" w:type="dxa"/>
            <w:vAlign w:val="center"/>
          </w:tcPr>
          <w:p w14:paraId="3114CECC" w14:textId="1098D4D1" w:rsidR="009C46DB" w:rsidRDefault="009C46DB" w:rsidP="00F55370">
            <w:pPr>
              <w:jc w:val="left"/>
            </w:pPr>
            <w:r>
              <w:lastRenderedPageBreak/>
              <w:t>Infection</w:t>
            </w:r>
          </w:p>
        </w:tc>
        <w:tc>
          <w:tcPr>
            <w:tcW w:w="3477" w:type="dxa"/>
            <w:vAlign w:val="center"/>
          </w:tcPr>
          <w:p w14:paraId="064E2B2D" w14:textId="1A2EED02" w:rsidR="009C46DB" w:rsidRDefault="009C46DB" w:rsidP="008417D7">
            <w:pPr>
              <w:jc w:val="center"/>
              <w:cnfStyle w:val="100000000000" w:firstRow="1" w:lastRow="0" w:firstColumn="0" w:lastColumn="0" w:oddVBand="0" w:evenVBand="0" w:oddHBand="0" w:evenHBand="0" w:firstRowFirstColumn="0" w:firstRowLastColumn="0" w:lastRowFirstColumn="0" w:lastRowLastColumn="0"/>
            </w:pPr>
            <w:r>
              <w:t>Work Restrictions / Exclusion Criteria</w:t>
            </w:r>
          </w:p>
        </w:tc>
        <w:tc>
          <w:tcPr>
            <w:tcW w:w="3478" w:type="dxa"/>
            <w:vAlign w:val="center"/>
          </w:tcPr>
          <w:p w14:paraId="7FDB0043" w14:textId="39D14B42" w:rsidR="009C46DB" w:rsidRDefault="009C46DB" w:rsidP="008417D7">
            <w:pPr>
              <w:jc w:val="center"/>
              <w:cnfStyle w:val="100000000000" w:firstRow="1" w:lastRow="0" w:firstColumn="0" w:lastColumn="0" w:oddVBand="0" w:evenVBand="0" w:oddHBand="0" w:evenHBand="0" w:firstRowFirstColumn="0" w:firstRowLastColumn="0" w:lastRowFirstColumn="0" w:lastRowLastColumn="0"/>
            </w:pPr>
            <w:r>
              <w:t>Additional Notes</w:t>
            </w:r>
          </w:p>
        </w:tc>
      </w:tr>
      <w:tr w:rsidR="009C46DB" w14:paraId="4872D529"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5F7E00A7" w14:textId="69F691C7" w:rsidR="009C46DB" w:rsidRDefault="0036115F" w:rsidP="00F55370">
            <w:pPr>
              <w:jc w:val="left"/>
            </w:pPr>
            <w:r w:rsidRPr="0036115F">
              <w:t>Chickenpox (Varicella)</w:t>
            </w:r>
          </w:p>
        </w:tc>
        <w:tc>
          <w:tcPr>
            <w:tcW w:w="3477" w:type="dxa"/>
            <w:vAlign w:val="center"/>
          </w:tcPr>
          <w:p w14:paraId="7FEBE1C7" w14:textId="2B5A5677" w:rsidR="009C46DB" w:rsidRDefault="0036115F" w:rsidP="008417D7">
            <w:pPr>
              <w:jc w:val="left"/>
              <w:cnfStyle w:val="000000100000" w:firstRow="0" w:lastRow="0" w:firstColumn="0" w:lastColumn="0" w:oddVBand="0" w:evenVBand="0" w:oddHBand="1" w:evenHBand="0" w:firstRowFirstColumn="0" w:firstRowLastColumn="0" w:lastRowFirstColumn="0" w:lastRowLastColumn="0"/>
            </w:pPr>
            <w:r w:rsidRPr="0036115F">
              <w:t>Exclude until all lesions are dry and crusted.</w:t>
            </w:r>
          </w:p>
        </w:tc>
        <w:tc>
          <w:tcPr>
            <w:tcW w:w="3478" w:type="dxa"/>
            <w:vAlign w:val="center"/>
          </w:tcPr>
          <w:p w14:paraId="17418AB4" w14:textId="536CD8AF" w:rsidR="009C46DB" w:rsidRDefault="0036115F" w:rsidP="008417D7">
            <w:pPr>
              <w:jc w:val="left"/>
              <w:cnfStyle w:val="000000100000" w:firstRow="0" w:lastRow="0" w:firstColumn="0" w:lastColumn="0" w:oddVBand="0" w:evenVBand="0" w:oddHBand="1" w:evenHBand="0" w:firstRowFirstColumn="0" w:firstRowLastColumn="0" w:lastRowFirstColumn="0" w:lastRowLastColumn="0"/>
            </w:pPr>
            <w:r w:rsidRPr="0036115F">
              <w:t>Non-immune staff exposed to chickenpox may require</w:t>
            </w:r>
            <w:r w:rsidR="0080121D">
              <w:t xml:space="preserve"> </w:t>
            </w:r>
            <w:r w:rsidRPr="0036115F">
              <w:t>exclusion during incubation</w:t>
            </w:r>
            <w:r w:rsidR="0080121D">
              <w:t xml:space="preserve"> </w:t>
            </w:r>
            <w:r w:rsidRPr="0036115F">
              <w:t>period. Seek Occupational Health/</w:t>
            </w:r>
            <w:proofErr w:type="spellStart"/>
            <w:r w:rsidRPr="0036115F">
              <w:t>IPaC</w:t>
            </w:r>
            <w:proofErr w:type="spellEnd"/>
            <w:r w:rsidRPr="0036115F">
              <w:t xml:space="preserve"> advice.</w:t>
            </w:r>
          </w:p>
        </w:tc>
      </w:tr>
      <w:tr w:rsidR="0036115F" w14:paraId="1857BA00"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37325160" w14:textId="301CB494" w:rsidR="0036115F" w:rsidRPr="0036115F" w:rsidRDefault="007C6B9B" w:rsidP="00F55370">
            <w:pPr>
              <w:jc w:val="left"/>
            </w:pPr>
            <w:r w:rsidRPr="007C6B9B">
              <w:t>Conjunctivitis</w:t>
            </w:r>
          </w:p>
        </w:tc>
        <w:tc>
          <w:tcPr>
            <w:tcW w:w="3477" w:type="dxa"/>
            <w:vAlign w:val="center"/>
          </w:tcPr>
          <w:p w14:paraId="2068AE36" w14:textId="14762815" w:rsidR="0036115F" w:rsidRPr="0036115F" w:rsidRDefault="007C6B9B" w:rsidP="008417D7">
            <w:pPr>
              <w:jc w:val="left"/>
              <w:cnfStyle w:val="000000000000" w:firstRow="0" w:lastRow="0" w:firstColumn="0" w:lastColumn="0" w:oddVBand="0" w:evenVBand="0" w:oddHBand="0" w:evenHBand="0" w:firstRowFirstColumn="0" w:firstRowLastColumn="0" w:lastRowFirstColumn="0" w:lastRowLastColumn="0"/>
            </w:pPr>
            <w:r w:rsidRPr="007C6B9B">
              <w:t xml:space="preserve">Risk assessed. </w:t>
            </w:r>
            <w:proofErr w:type="gramStart"/>
            <w:r w:rsidRPr="007C6B9B">
              <w:t>Usually</w:t>
            </w:r>
            <w:proofErr w:type="gramEnd"/>
            <w:r w:rsidRPr="007C6B9B">
              <w:t xml:space="preserve"> no exclusion unless severe or linked to outbreak.</w:t>
            </w:r>
          </w:p>
        </w:tc>
        <w:tc>
          <w:tcPr>
            <w:tcW w:w="3478" w:type="dxa"/>
            <w:vAlign w:val="center"/>
          </w:tcPr>
          <w:p w14:paraId="6AF01B64" w14:textId="48E93110" w:rsidR="0036115F" w:rsidRPr="0036115F" w:rsidRDefault="007C6B9B" w:rsidP="008417D7">
            <w:pPr>
              <w:jc w:val="left"/>
              <w:cnfStyle w:val="000000000000" w:firstRow="0" w:lastRow="0" w:firstColumn="0" w:lastColumn="0" w:oddVBand="0" w:evenVBand="0" w:oddHBand="0" w:evenHBand="0" w:firstRowFirstColumn="0" w:firstRowLastColumn="0" w:lastRowFirstColumn="0" w:lastRowLastColumn="0"/>
            </w:pPr>
            <w:r w:rsidRPr="007C6B9B">
              <w:t>Follow good hand hygiene and environmental cleaning.</w:t>
            </w:r>
          </w:p>
        </w:tc>
      </w:tr>
      <w:tr w:rsidR="007C6B9B" w14:paraId="7FEB3D85"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241304AC" w14:textId="2962F68F" w:rsidR="007C6B9B" w:rsidRPr="007C6B9B" w:rsidRDefault="001D400E" w:rsidP="00F55370">
            <w:pPr>
              <w:jc w:val="left"/>
            </w:pPr>
            <w:r w:rsidRPr="001D400E">
              <w:t>COVID-19 and Respiratory Illness</w:t>
            </w:r>
          </w:p>
        </w:tc>
        <w:tc>
          <w:tcPr>
            <w:tcW w:w="3477" w:type="dxa"/>
            <w:vAlign w:val="center"/>
          </w:tcPr>
          <w:p w14:paraId="08A6F05D" w14:textId="65DDE747" w:rsidR="007C6B9B" w:rsidRPr="007C6B9B" w:rsidRDefault="001D400E" w:rsidP="008417D7">
            <w:pPr>
              <w:jc w:val="left"/>
              <w:cnfStyle w:val="000000100000" w:firstRow="0" w:lastRow="0" w:firstColumn="0" w:lastColumn="0" w:oddVBand="0" w:evenVBand="0" w:oddHBand="1" w:evenHBand="0" w:firstRowFirstColumn="0" w:firstRowLastColumn="0" w:lastRowFirstColumn="0" w:lastRowLastColumn="0"/>
            </w:pPr>
            <w:r w:rsidRPr="001D400E">
              <w:t xml:space="preserve">Exclude if symptomatic and febrile or otherwise unfit for work. Return when </w:t>
            </w:r>
            <w:r w:rsidR="00DA0E91">
              <w:t>feel well with no fever.</w:t>
            </w:r>
          </w:p>
        </w:tc>
        <w:tc>
          <w:tcPr>
            <w:tcW w:w="3478" w:type="dxa"/>
            <w:vAlign w:val="center"/>
          </w:tcPr>
          <w:p w14:paraId="075FC3E8" w14:textId="4E417F0E" w:rsidR="007C6B9B" w:rsidRPr="007C6B9B" w:rsidRDefault="001D400E" w:rsidP="008417D7">
            <w:pPr>
              <w:jc w:val="left"/>
              <w:cnfStyle w:val="000000100000" w:firstRow="0" w:lastRow="0" w:firstColumn="0" w:lastColumn="0" w:oddVBand="0" w:evenVBand="0" w:oddHBand="1" w:evenHBand="0" w:firstRowFirstColumn="0" w:firstRowLastColumn="0" w:lastRowFirstColumn="0" w:lastRowLastColumn="0"/>
            </w:pPr>
            <w:r w:rsidRPr="001D400E">
              <w:t xml:space="preserve">Testing generally not required unless directed by </w:t>
            </w:r>
            <w:proofErr w:type="spellStart"/>
            <w:r w:rsidRPr="001D400E">
              <w:t>IPaC</w:t>
            </w:r>
            <w:proofErr w:type="spellEnd"/>
            <w:r w:rsidRPr="001D400E">
              <w:t xml:space="preserve"> during outbreaks.</w:t>
            </w:r>
          </w:p>
        </w:tc>
      </w:tr>
      <w:tr w:rsidR="001D400E" w14:paraId="090A5B5C"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03B7C96A" w14:textId="031DCD8B" w:rsidR="001D400E" w:rsidRPr="001D400E" w:rsidRDefault="003064D2" w:rsidP="00F55370">
            <w:pPr>
              <w:jc w:val="left"/>
            </w:pPr>
            <w:r w:rsidRPr="003064D2">
              <w:t>Cytomegalovirus (CMV)</w:t>
            </w:r>
          </w:p>
        </w:tc>
        <w:tc>
          <w:tcPr>
            <w:tcW w:w="3477" w:type="dxa"/>
            <w:vAlign w:val="center"/>
          </w:tcPr>
          <w:p w14:paraId="3CB69930" w14:textId="2A30FAA7" w:rsidR="001D400E" w:rsidRPr="001D400E" w:rsidRDefault="003064D2" w:rsidP="008417D7">
            <w:pPr>
              <w:jc w:val="left"/>
              <w:cnfStyle w:val="000000000000" w:firstRow="0" w:lastRow="0" w:firstColumn="0" w:lastColumn="0" w:oddVBand="0" w:evenVBand="0" w:oddHBand="0" w:evenHBand="0" w:firstRowFirstColumn="0" w:firstRowLastColumn="0" w:lastRowFirstColumn="0" w:lastRowLastColumn="0"/>
            </w:pPr>
            <w:r w:rsidRPr="003064D2">
              <w:t>No restrictions.</w:t>
            </w:r>
          </w:p>
        </w:tc>
        <w:tc>
          <w:tcPr>
            <w:tcW w:w="3478" w:type="dxa"/>
            <w:vAlign w:val="center"/>
          </w:tcPr>
          <w:p w14:paraId="441F8A53" w14:textId="0B8C3C7C" w:rsidR="001D400E" w:rsidRPr="001D400E" w:rsidRDefault="003064D2" w:rsidP="008417D7">
            <w:pPr>
              <w:jc w:val="left"/>
              <w:cnfStyle w:val="000000000000" w:firstRow="0" w:lastRow="0" w:firstColumn="0" w:lastColumn="0" w:oddVBand="0" w:evenVBand="0" w:oddHBand="0" w:evenHBand="0" w:firstRowFirstColumn="0" w:firstRowLastColumn="0" w:lastRowFirstColumn="0" w:lastRowLastColumn="0"/>
            </w:pPr>
            <w:r w:rsidRPr="003064D2">
              <w:t>Standard precautions apply</w:t>
            </w:r>
          </w:p>
        </w:tc>
      </w:tr>
      <w:tr w:rsidR="003064D2" w14:paraId="7EBB1E05"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3E08AD52" w14:textId="7C4F9A71" w:rsidR="003064D2" w:rsidRPr="003064D2" w:rsidRDefault="003064D2" w:rsidP="00F55370">
            <w:pPr>
              <w:jc w:val="left"/>
            </w:pPr>
            <w:proofErr w:type="spellStart"/>
            <w:r w:rsidRPr="003064D2">
              <w:t>Diarrhoea</w:t>
            </w:r>
            <w:proofErr w:type="spellEnd"/>
            <w:r w:rsidRPr="003064D2">
              <w:t>/Vomiting (infectious)</w:t>
            </w:r>
          </w:p>
        </w:tc>
        <w:tc>
          <w:tcPr>
            <w:tcW w:w="3477" w:type="dxa"/>
            <w:vAlign w:val="center"/>
          </w:tcPr>
          <w:p w14:paraId="6DEDE9AB" w14:textId="14E4E886" w:rsidR="003064D2" w:rsidRPr="003064D2" w:rsidRDefault="003064D2" w:rsidP="008417D7">
            <w:pPr>
              <w:jc w:val="left"/>
              <w:cnfStyle w:val="000000100000" w:firstRow="0" w:lastRow="0" w:firstColumn="0" w:lastColumn="0" w:oddVBand="0" w:evenVBand="0" w:oddHBand="1" w:evenHBand="0" w:firstRowFirstColumn="0" w:firstRowLastColumn="0" w:lastRowFirstColumn="0" w:lastRowLastColumn="0"/>
            </w:pPr>
            <w:r w:rsidRPr="003064D2">
              <w:t>Exclude until symptom-free for 48 hours.</w:t>
            </w:r>
          </w:p>
        </w:tc>
        <w:tc>
          <w:tcPr>
            <w:tcW w:w="3478" w:type="dxa"/>
            <w:vAlign w:val="center"/>
          </w:tcPr>
          <w:p w14:paraId="5B2A3EE1" w14:textId="22477079" w:rsidR="003064D2" w:rsidRPr="003064D2" w:rsidRDefault="003064D2" w:rsidP="008417D7">
            <w:pPr>
              <w:jc w:val="left"/>
              <w:cnfStyle w:val="000000100000" w:firstRow="0" w:lastRow="0" w:firstColumn="0" w:lastColumn="0" w:oddVBand="0" w:evenVBand="0" w:oddHBand="1" w:evenHBand="0" w:firstRowFirstColumn="0" w:firstRowLastColumn="0" w:lastRowFirstColumn="0" w:lastRowLastColumn="0"/>
            </w:pPr>
            <w:r w:rsidRPr="003064D2">
              <w:t>Longer exclusion may be needed during outbreaks.</w:t>
            </w:r>
          </w:p>
        </w:tc>
      </w:tr>
      <w:tr w:rsidR="003064D2" w14:paraId="60EB817E"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1008AE3E" w14:textId="190C9C1C" w:rsidR="003064D2" w:rsidRPr="003064D2" w:rsidRDefault="00FF54F1" w:rsidP="00F55370">
            <w:pPr>
              <w:jc w:val="left"/>
            </w:pPr>
            <w:r w:rsidRPr="00FF54F1">
              <w:t>Head Lice</w:t>
            </w:r>
          </w:p>
        </w:tc>
        <w:tc>
          <w:tcPr>
            <w:tcW w:w="3477" w:type="dxa"/>
            <w:vAlign w:val="center"/>
          </w:tcPr>
          <w:p w14:paraId="3811289C" w14:textId="31087DD3" w:rsidR="003064D2" w:rsidRPr="003064D2" w:rsidRDefault="00FF54F1" w:rsidP="008417D7">
            <w:pPr>
              <w:jc w:val="left"/>
              <w:cnfStyle w:val="000000000000" w:firstRow="0" w:lastRow="0" w:firstColumn="0" w:lastColumn="0" w:oddVBand="0" w:evenVBand="0" w:oddHBand="0" w:evenHBand="0" w:firstRowFirstColumn="0" w:firstRowLastColumn="0" w:lastRowFirstColumn="0" w:lastRowLastColumn="0"/>
            </w:pPr>
            <w:r w:rsidRPr="00FF54F1">
              <w:t>No exclusion.</w:t>
            </w:r>
          </w:p>
        </w:tc>
        <w:tc>
          <w:tcPr>
            <w:tcW w:w="3478" w:type="dxa"/>
            <w:vAlign w:val="center"/>
          </w:tcPr>
          <w:p w14:paraId="054FC955" w14:textId="564A4962" w:rsidR="003064D2" w:rsidRPr="003064D2" w:rsidRDefault="00FF54F1" w:rsidP="008417D7">
            <w:pPr>
              <w:jc w:val="left"/>
              <w:cnfStyle w:val="000000000000" w:firstRow="0" w:lastRow="0" w:firstColumn="0" w:lastColumn="0" w:oddVBand="0" w:evenVBand="0" w:oddHBand="0" w:evenHBand="0" w:firstRowFirstColumn="0" w:firstRowLastColumn="0" w:lastRowFirstColumn="0" w:lastRowLastColumn="0"/>
            </w:pPr>
            <w:r w:rsidRPr="00FF54F1">
              <w:t>Treatment advised.</w:t>
            </w:r>
          </w:p>
        </w:tc>
      </w:tr>
      <w:tr w:rsidR="00FF54F1" w14:paraId="31466087"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1375A606" w14:textId="563353CF" w:rsidR="00FF54F1" w:rsidRPr="00FF54F1" w:rsidRDefault="00FF54F1" w:rsidP="00F55370">
            <w:pPr>
              <w:jc w:val="left"/>
            </w:pPr>
            <w:r w:rsidRPr="00FF54F1">
              <w:t>Hepatitis A</w:t>
            </w:r>
          </w:p>
        </w:tc>
        <w:tc>
          <w:tcPr>
            <w:tcW w:w="3477" w:type="dxa"/>
            <w:vAlign w:val="center"/>
          </w:tcPr>
          <w:p w14:paraId="236EE1AA" w14:textId="0F44A359" w:rsidR="00FF54F1" w:rsidRPr="00FF54F1" w:rsidRDefault="00FF54F1" w:rsidP="008417D7">
            <w:pPr>
              <w:jc w:val="left"/>
              <w:cnfStyle w:val="000000100000" w:firstRow="0" w:lastRow="0" w:firstColumn="0" w:lastColumn="0" w:oddVBand="0" w:evenVBand="0" w:oddHBand="1" w:evenHBand="0" w:firstRowFirstColumn="0" w:firstRowLastColumn="0" w:lastRowFirstColumn="0" w:lastRowLastColumn="0"/>
            </w:pPr>
            <w:r w:rsidRPr="00FF54F1">
              <w:t>Exclude from patient care and food handling until 7 days after onset of jaundice and clinically well.</w:t>
            </w:r>
          </w:p>
        </w:tc>
        <w:tc>
          <w:tcPr>
            <w:tcW w:w="3478" w:type="dxa"/>
            <w:vAlign w:val="center"/>
          </w:tcPr>
          <w:p w14:paraId="6FD3F40C" w14:textId="779195B7" w:rsidR="00FF54F1" w:rsidRPr="00FF54F1" w:rsidRDefault="00FF54F1" w:rsidP="008417D7">
            <w:pPr>
              <w:jc w:val="left"/>
              <w:cnfStyle w:val="000000100000" w:firstRow="0" w:lastRow="0" w:firstColumn="0" w:lastColumn="0" w:oddVBand="0" w:evenVBand="0" w:oddHBand="1" w:evenHBand="0" w:firstRowFirstColumn="0" w:firstRowLastColumn="0" w:lastRowFirstColumn="0" w:lastRowLastColumn="0"/>
            </w:pPr>
            <w:proofErr w:type="spellStart"/>
            <w:r w:rsidRPr="00FF54F1">
              <w:t>IPaC</w:t>
            </w:r>
            <w:proofErr w:type="spellEnd"/>
            <w:r w:rsidRPr="00FF54F1">
              <w:t xml:space="preserve"> advice in outbreaks.</w:t>
            </w:r>
          </w:p>
        </w:tc>
      </w:tr>
      <w:tr w:rsidR="00FF54F1" w14:paraId="490C9D9D"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7A8BFE1A" w14:textId="414B52C6" w:rsidR="00FF54F1" w:rsidRPr="00FF54F1" w:rsidRDefault="005D3558" w:rsidP="00F55370">
            <w:pPr>
              <w:jc w:val="left"/>
            </w:pPr>
            <w:r w:rsidRPr="005D3558">
              <w:t>Hepatitis B or C (non-exposure prone procedures)</w:t>
            </w:r>
          </w:p>
        </w:tc>
        <w:tc>
          <w:tcPr>
            <w:tcW w:w="3477" w:type="dxa"/>
            <w:vAlign w:val="center"/>
          </w:tcPr>
          <w:p w14:paraId="67A02C2C" w14:textId="708C2A8D" w:rsidR="00FF54F1" w:rsidRPr="00FF54F1" w:rsidRDefault="005D3558" w:rsidP="008417D7">
            <w:pPr>
              <w:jc w:val="left"/>
              <w:cnfStyle w:val="000000000000" w:firstRow="0" w:lastRow="0" w:firstColumn="0" w:lastColumn="0" w:oddVBand="0" w:evenVBand="0" w:oddHBand="0" w:evenHBand="0" w:firstRowFirstColumn="0" w:firstRowLastColumn="0" w:lastRowFirstColumn="0" w:lastRowLastColumn="0"/>
            </w:pPr>
            <w:r w:rsidRPr="005D3558">
              <w:t>No restrictions.</w:t>
            </w:r>
          </w:p>
        </w:tc>
        <w:tc>
          <w:tcPr>
            <w:tcW w:w="3478" w:type="dxa"/>
            <w:vAlign w:val="center"/>
          </w:tcPr>
          <w:p w14:paraId="06CB8727" w14:textId="6F254D40" w:rsidR="00FF54F1" w:rsidRPr="00FF54F1" w:rsidRDefault="005D3558" w:rsidP="008417D7">
            <w:pPr>
              <w:jc w:val="left"/>
              <w:cnfStyle w:val="000000000000" w:firstRow="0" w:lastRow="0" w:firstColumn="0" w:lastColumn="0" w:oddVBand="0" w:evenVBand="0" w:oddHBand="0" w:evenHBand="0" w:firstRowFirstColumn="0" w:firstRowLastColumn="0" w:lastRowFirstColumn="0" w:lastRowLastColumn="0"/>
            </w:pPr>
            <w:r w:rsidRPr="005D3558">
              <w:t>Standard precautions always.</w:t>
            </w:r>
          </w:p>
        </w:tc>
      </w:tr>
      <w:tr w:rsidR="005D3558" w14:paraId="0FB26BA4"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55B31175" w14:textId="13CD9FF6" w:rsidR="005D3558" w:rsidRPr="005D3558" w:rsidRDefault="00877D94" w:rsidP="00F55370">
            <w:pPr>
              <w:jc w:val="left"/>
            </w:pPr>
            <w:r w:rsidRPr="00877D94">
              <w:t>Hepatitis B or C (performing exposure prone procedures)</w:t>
            </w:r>
          </w:p>
        </w:tc>
        <w:tc>
          <w:tcPr>
            <w:tcW w:w="3477" w:type="dxa"/>
            <w:vAlign w:val="center"/>
          </w:tcPr>
          <w:p w14:paraId="51B1ABAA" w14:textId="3FCE1CA1" w:rsidR="005D3558" w:rsidRPr="005D3558" w:rsidRDefault="00877D94" w:rsidP="008417D7">
            <w:pPr>
              <w:jc w:val="left"/>
              <w:cnfStyle w:val="000000100000" w:firstRow="0" w:lastRow="0" w:firstColumn="0" w:lastColumn="0" w:oddVBand="0" w:evenVBand="0" w:oddHBand="1" w:evenHBand="0" w:firstRowFirstColumn="0" w:firstRowLastColumn="0" w:lastRowFirstColumn="0" w:lastRowLastColumn="0"/>
            </w:pPr>
            <w:r w:rsidRPr="00877D94">
              <w:t>Occupational Health</w:t>
            </w:r>
            <w:r>
              <w:t xml:space="preserve"> </w:t>
            </w:r>
            <w:r w:rsidRPr="00877D94">
              <w:t>risk assessment required.</w:t>
            </w:r>
          </w:p>
        </w:tc>
        <w:tc>
          <w:tcPr>
            <w:tcW w:w="3478" w:type="dxa"/>
            <w:vAlign w:val="center"/>
          </w:tcPr>
          <w:p w14:paraId="281383C2" w14:textId="220B0A1B" w:rsidR="005D3558" w:rsidRPr="005D3558" w:rsidRDefault="00877D94" w:rsidP="008417D7">
            <w:pPr>
              <w:jc w:val="left"/>
              <w:cnfStyle w:val="000000100000" w:firstRow="0" w:lastRow="0" w:firstColumn="0" w:lastColumn="0" w:oddVBand="0" w:evenVBand="0" w:oddHBand="1" w:evenHBand="0" w:firstRowFirstColumn="0" w:firstRowLastColumn="0" w:lastRowFirstColumn="0" w:lastRowLastColumn="0"/>
            </w:pPr>
            <w:r w:rsidRPr="00877D94">
              <w:t>Follow UKAP guidance.</w:t>
            </w:r>
          </w:p>
        </w:tc>
      </w:tr>
      <w:tr w:rsidR="00877D94" w14:paraId="7CEDC246"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56928C9B" w14:textId="527E6646" w:rsidR="00877D94" w:rsidRPr="00877D94" w:rsidRDefault="00E04380" w:rsidP="00F55370">
            <w:pPr>
              <w:jc w:val="left"/>
            </w:pPr>
            <w:r w:rsidRPr="00E04380">
              <w:t>Herpes Simplex (cold sores, whitlow)</w:t>
            </w:r>
          </w:p>
        </w:tc>
        <w:tc>
          <w:tcPr>
            <w:tcW w:w="3477" w:type="dxa"/>
            <w:vAlign w:val="center"/>
          </w:tcPr>
          <w:p w14:paraId="4F28FA0A" w14:textId="3028CD21" w:rsidR="00877D94" w:rsidRPr="00877D94" w:rsidRDefault="00E04380" w:rsidP="008417D7">
            <w:pPr>
              <w:jc w:val="left"/>
              <w:cnfStyle w:val="000000000000" w:firstRow="0" w:lastRow="0" w:firstColumn="0" w:lastColumn="0" w:oddVBand="0" w:evenVBand="0" w:oddHBand="0" w:evenHBand="0" w:firstRowFirstColumn="0" w:firstRowLastColumn="0" w:lastRowFirstColumn="0" w:lastRowLastColumn="0"/>
            </w:pPr>
            <w:r w:rsidRPr="00E04380">
              <w:t>Usually no exclusion. Lesions should be covered if possible.</w:t>
            </w:r>
          </w:p>
        </w:tc>
        <w:tc>
          <w:tcPr>
            <w:tcW w:w="3478" w:type="dxa"/>
            <w:vAlign w:val="center"/>
          </w:tcPr>
          <w:p w14:paraId="720D2267" w14:textId="375777E1" w:rsidR="00877D94" w:rsidRPr="00877D94" w:rsidRDefault="00E04380" w:rsidP="008417D7">
            <w:pPr>
              <w:jc w:val="left"/>
              <w:cnfStyle w:val="000000000000" w:firstRow="0" w:lastRow="0" w:firstColumn="0" w:lastColumn="0" w:oddVBand="0" w:evenVBand="0" w:oddHBand="0" w:evenHBand="0" w:firstRowFirstColumn="0" w:firstRowLastColumn="0" w:lastRowFirstColumn="0" w:lastRowLastColumn="0"/>
            </w:pPr>
            <w:proofErr w:type="spellStart"/>
            <w:r w:rsidRPr="00E04380">
              <w:t>IPaC</w:t>
            </w:r>
            <w:proofErr w:type="spellEnd"/>
            <w:r w:rsidRPr="00E04380">
              <w:t>/Occupational Health advice if lesions are extensive or duties involve high-risk patients.</w:t>
            </w:r>
          </w:p>
        </w:tc>
      </w:tr>
      <w:tr w:rsidR="00E04380" w14:paraId="0BEFD032"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359C6830" w14:textId="7DA32AC6" w:rsidR="00E04380" w:rsidRPr="00E04380" w:rsidRDefault="006F581C" w:rsidP="00F55370">
            <w:pPr>
              <w:jc w:val="left"/>
            </w:pPr>
            <w:r w:rsidRPr="006F581C">
              <w:t>HIV</w:t>
            </w:r>
          </w:p>
        </w:tc>
        <w:tc>
          <w:tcPr>
            <w:tcW w:w="3477" w:type="dxa"/>
            <w:vAlign w:val="center"/>
          </w:tcPr>
          <w:p w14:paraId="4C55C5DD" w14:textId="1D2296A7" w:rsidR="00E04380" w:rsidRPr="00E04380" w:rsidRDefault="006F581C" w:rsidP="008417D7">
            <w:pPr>
              <w:jc w:val="left"/>
              <w:cnfStyle w:val="000000100000" w:firstRow="0" w:lastRow="0" w:firstColumn="0" w:lastColumn="0" w:oddVBand="0" w:evenVBand="0" w:oddHBand="1" w:evenHBand="0" w:firstRowFirstColumn="0" w:firstRowLastColumn="0" w:lastRowFirstColumn="0" w:lastRowLastColumn="0"/>
            </w:pPr>
            <w:r w:rsidRPr="006F581C">
              <w:t>No restrictions unless performing exposure prone procedures.</w:t>
            </w:r>
          </w:p>
        </w:tc>
        <w:tc>
          <w:tcPr>
            <w:tcW w:w="3478" w:type="dxa"/>
            <w:vAlign w:val="center"/>
          </w:tcPr>
          <w:p w14:paraId="1194939E" w14:textId="3A9FDAEC" w:rsidR="00E04380" w:rsidRPr="00E04380" w:rsidRDefault="006F581C" w:rsidP="008417D7">
            <w:pPr>
              <w:jc w:val="left"/>
              <w:cnfStyle w:val="000000100000" w:firstRow="0" w:lastRow="0" w:firstColumn="0" w:lastColumn="0" w:oddVBand="0" w:evenVBand="0" w:oddHBand="1" w:evenHBand="0" w:firstRowFirstColumn="0" w:firstRowLastColumn="0" w:lastRowFirstColumn="0" w:lastRowLastColumn="0"/>
            </w:pPr>
            <w:r w:rsidRPr="006F581C">
              <w:t>Occupational Health advice required for EPP.</w:t>
            </w:r>
          </w:p>
        </w:tc>
      </w:tr>
      <w:tr w:rsidR="006F581C" w14:paraId="1D9B47EA"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2F81C3E1" w14:textId="41BC6EB7" w:rsidR="006F581C" w:rsidRPr="006F581C" w:rsidRDefault="00EC2175" w:rsidP="00F55370">
            <w:pPr>
              <w:jc w:val="left"/>
            </w:pPr>
            <w:r w:rsidRPr="00EC2175">
              <w:lastRenderedPageBreak/>
              <w:t>Impetigo</w:t>
            </w:r>
          </w:p>
        </w:tc>
        <w:tc>
          <w:tcPr>
            <w:tcW w:w="3477" w:type="dxa"/>
            <w:vAlign w:val="center"/>
          </w:tcPr>
          <w:p w14:paraId="20445373" w14:textId="7EDCF7BA" w:rsidR="006F581C" w:rsidRPr="006F581C" w:rsidRDefault="00EC2175" w:rsidP="008417D7">
            <w:pPr>
              <w:jc w:val="left"/>
              <w:cnfStyle w:val="000000000000" w:firstRow="0" w:lastRow="0" w:firstColumn="0" w:lastColumn="0" w:oddVBand="0" w:evenVBand="0" w:oddHBand="0" w:evenHBand="0" w:firstRowFirstColumn="0" w:firstRowLastColumn="0" w:lastRowFirstColumn="0" w:lastRowLastColumn="0"/>
            </w:pPr>
            <w:r w:rsidRPr="00EC2175">
              <w:t>Exclude until lesions are crusted/healed or 48 hours after starting antibiotic treatment.</w:t>
            </w:r>
          </w:p>
        </w:tc>
        <w:tc>
          <w:tcPr>
            <w:tcW w:w="3478" w:type="dxa"/>
            <w:vAlign w:val="center"/>
          </w:tcPr>
          <w:p w14:paraId="78422BE7" w14:textId="40ACF8A5" w:rsidR="006F581C" w:rsidRPr="006F581C" w:rsidRDefault="00EC2175" w:rsidP="008417D7">
            <w:pPr>
              <w:jc w:val="left"/>
              <w:cnfStyle w:val="000000000000" w:firstRow="0" w:lastRow="0" w:firstColumn="0" w:lastColumn="0" w:oddVBand="0" w:evenVBand="0" w:oddHBand="0" w:evenHBand="0" w:firstRowFirstColumn="0" w:firstRowLastColumn="0" w:lastRowFirstColumn="0" w:lastRowLastColumn="0"/>
            </w:pPr>
            <w:r w:rsidRPr="00EC2175">
              <w:t>Hygiene measures essential.</w:t>
            </w:r>
          </w:p>
        </w:tc>
      </w:tr>
      <w:tr w:rsidR="00EC2175" w14:paraId="4E3E61EE"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652AAFA6" w14:textId="56267753" w:rsidR="00EC2175" w:rsidRPr="00EC2175" w:rsidRDefault="00EC2175" w:rsidP="00F55370">
            <w:pPr>
              <w:jc w:val="left"/>
            </w:pPr>
            <w:r w:rsidRPr="00EC2175">
              <w:t>Influenza or Influenza-Like Illness (ILI)</w:t>
            </w:r>
          </w:p>
        </w:tc>
        <w:tc>
          <w:tcPr>
            <w:tcW w:w="3477" w:type="dxa"/>
            <w:vAlign w:val="center"/>
          </w:tcPr>
          <w:p w14:paraId="31A156BC" w14:textId="71FF8C41" w:rsidR="00EC2175" w:rsidRPr="00EC2175" w:rsidRDefault="00EC2175" w:rsidP="008417D7">
            <w:pPr>
              <w:jc w:val="left"/>
              <w:cnfStyle w:val="000000100000" w:firstRow="0" w:lastRow="0" w:firstColumn="0" w:lastColumn="0" w:oddVBand="0" w:evenVBand="0" w:oddHBand="1" w:evenHBand="0" w:firstRowFirstColumn="0" w:firstRowLastColumn="0" w:lastRowFirstColumn="0" w:lastRowLastColumn="0"/>
            </w:pPr>
            <w:r w:rsidRPr="00EC2175">
              <w:t>Exclude until clinically well and fever-free for at least 48 hours.</w:t>
            </w:r>
          </w:p>
        </w:tc>
        <w:tc>
          <w:tcPr>
            <w:tcW w:w="3478" w:type="dxa"/>
            <w:vAlign w:val="center"/>
          </w:tcPr>
          <w:p w14:paraId="15894590" w14:textId="33D58BC9" w:rsidR="00EC2175" w:rsidRPr="00EC2175" w:rsidRDefault="00EC2175" w:rsidP="008417D7">
            <w:pPr>
              <w:jc w:val="left"/>
              <w:cnfStyle w:val="000000100000" w:firstRow="0" w:lastRow="0" w:firstColumn="0" w:lastColumn="0" w:oddVBand="0" w:evenVBand="0" w:oddHBand="1" w:evenHBand="0" w:firstRowFirstColumn="0" w:firstRowLastColumn="0" w:lastRowFirstColumn="0" w:lastRowLastColumn="0"/>
            </w:pPr>
            <w:r w:rsidRPr="00EC2175">
              <w:t>Promote vaccination.</w:t>
            </w:r>
          </w:p>
        </w:tc>
      </w:tr>
      <w:tr w:rsidR="003D752B" w14:paraId="04E799E5"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4BF969BA" w14:textId="1CBC9A93" w:rsidR="003D752B" w:rsidRPr="00EC2175" w:rsidRDefault="003D752B" w:rsidP="00F55370">
            <w:pPr>
              <w:jc w:val="left"/>
            </w:pPr>
            <w:r w:rsidRPr="003D752B">
              <w:t>Measles</w:t>
            </w:r>
          </w:p>
        </w:tc>
        <w:tc>
          <w:tcPr>
            <w:tcW w:w="3477" w:type="dxa"/>
            <w:vAlign w:val="center"/>
          </w:tcPr>
          <w:p w14:paraId="3A59DA97" w14:textId="6E6635F5" w:rsidR="003D752B" w:rsidRPr="00EC2175" w:rsidRDefault="003D752B" w:rsidP="008417D7">
            <w:pPr>
              <w:jc w:val="left"/>
              <w:cnfStyle w:val="000000000000" w:firstRow="0" w:lastRow="0" w:firstColumn="0" w:lastColumn="0" w:oddVBand="0" w:evenVBand="0" w:oddHBand="0" w:evenHBand="0" w:firstRowFirstColumn="0" w:firstRowLastColumn="0" w:lastRowFirstColumn="0" w:lastRowLastColumn="0"/>
            </w:pPr>
            <w:r w:rsidRPr="003D752B">
              <w:t>Exclude for 4 days after rash onset and until clinically well.</w:t>
            </w:r>
          </w:p>
        </w:tc>
        <w:tc>
          <w:tcPr>
            <w:tcW w:w="3478" w:type="dxa"/>
            <w:vAlign w:val="center"/>
          </w:tcPr>
          <w:p w14:paraId="24239A6A" w14:textId="27B64721" w:rsidR="003D752B" w:rsidRPr="00EC2175" w:rsidRDefault="003D752B" w:rsidP="008417D7">
            <w:pPr>
              <w:jc w:val="left"/>
              <w:cnfStyle w:val="000000000000" w:firstRow="0" w:lastRow="0" w:firstColumn="0" w:lastColumn="0" w:oddVBand="0" w:evenVBand="0" w:oddHBand="0" w:evenHBand="0" w:firstRowFirstColumn="0" w:firstRowLastColumn="0" w:lastRowFirstColumn="0" w:lastRowLastColumn="0"/>
            </w:pPr>
            <w:r w:rsidRPr="003D752B">
              <w:t>Non-immune pregnant staff exposed to measles must seek prompt advice.</w:t>
            </w:r>
          </w:p>
        </w:tc>
      </w:tr>
      <w:tr w:rsidR="003D752B" w14:paraId="211F09E1"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082DBE14" w14:textId="62F26988" w:rsidR="003D752B" w:rsidRPr="003D752B" w:rsidRDefault="00B8012D" w:rsidP="00F55370">
            <w:pPr>
              <w:jc w:val="left"/>
            </w:pPr>
            <w:r w:rsidRPr="00B8012D">
              <w:t>MRSA carriage</w:t>
            </w:r>
          </w:p>
        </w:tc>
        <w:tc>
          <w:tcPr>
            <w:tcW w:w="3477" w:type="dxa"/>
            <w:vAlign w:val="center"/>
          </w:tcPr>
          <w:p w14:paraId="5DE1CD6C" w14:textId="4357C9E1" w:rsidR="003D752B" w:rsidRPr="003D752B" w:rsidRDefault="00B8012D" w:rsidP="008417D7">
            <w:pPr>
              <w:jc w:val="left"/>
              <w:cnfStyle w:val="000000100000" w:firstRow="0" w:lastRow="0" w:firstColumn="0" w:lastColumn="0" w:oddVBand="0" w:evenVBand="0" w:oddHBand="1" w:evenHBand="0" w:firstRowFirstColumn="0" w:firstRowLastColumn="0" w:lastRowFirstColumn="0" w:lastRowLastColumn="0"/>
            </w:pPr>
            <w:r w:rsidRPr="00B8012D">
              <w:t xml:space="preserve">No routine exclusion unless causing cross-infection or directed by </w:t>
            </w:r>
            <w:proofErr w:type="spellStart"/>
            <w:r w:rsidRPr="00B8012D">
              <w:t>IPaC</w:t>
            </w:r>
            <w:proofErr w:type="spellEnd"/>
            <w:r w:rsidRPr="00B8012D">
              <w:t>.</w:t>
            </w:r>
          </w:p>
        </w:tc>
        <w:tc>
          <w:tcPr>
            <w:tcW w:w="3478" w:type="dxa"/>
            <w:vAlign w:val="center"/>
          </w:tcPr>
          <w:p w14:paraId="3A927F01" w14:textId="7D92D467" w:rsidR="003D752B" w:rsidRPr="003D752B" w:rsidRDefault="00B8012D" w:rsidP="008417D7">
            <w:pPr>
              <w:jc w:val="left"/>
              <w:cnfStyle w:val="000000100000" w:firstRow="0" w:lastRow="0" w:firstColumn="0" w:lastColumn="0" w:oddVBand="0" w:evenVBand="0" w:oddHBand="1" w:evenHBand="0" w:firstRowFirstColumn="0" w:firstRowLastColumn="0" w:lastRowFirstColumn="0" w:lastRowLastColumn="0"/>
            </w:pPr>
            <w:r w:rsidRPr="00B8012D">
              <w:t>Standard precautions.</w:t>
            </w:r>
          </w:p>
        </w:tc>
      </w:tr>
      <w:tr w:rsidR="00B8012D" w14:paraId="1EC945F6"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45A3360A" w14:textId="08C76F62" w:rsidR="00B8012D" w:rsidRPr="00B8012D" w:rsidRDefault="00715771" w:rsidP="00F55370">
            <w:pPr>
              <w:jc w:val="left"/>
            </w:pPr>
            <w:r w:rsidRPr="00715771">
              <w:t>Mumps</w:t>
            </w:r>
          </w:p>
        </w:tc>
        <w:tc>
          <w:tcPr>
            <w:tcW w:w="3477" w:type="dxa"/>
            <w:vAlign w:val="center"/>
          </w:tcPr>
          <w:p w14:paraId="215CFFA4" w14:textId="6608C86F" w:rsidR="00B8012D" w:rsidRPr="00B8012D" w:rsidRDefault="00715771" w:rsidP="008417D7">
            <w:pPr>
              <w:jc w:val="left"/>
              <w:cnfStyle w:val="000000000000" w:firstRow="0" w:lastRow="0" w:firstColumn="0" w:lastColumn="0" w:oddVBand="0" w:evenVBand="0" w:oddHBand="0" w:evenHBand="0" w:firstRowFirstColumn="0" w:firstRowLastColumn="0" w:lastRowFirstColumn="0" w:lastRowLastColumn="0"/>
            </w:pPr>
            <w:r w:rsidRPr="00715771">
              <w:t>Exclude for 5 days after onset of swelling and until clinically well.</w:t>
            </w:r>
          </w:p>
        </w:tc>
        <w:tc>
          <w:tcPr>
            <w:tcW w:w="3478" w:type="dxa"/>
            <w:vAlign w:val="center"/>
          </w:tcPr>
          <w:p w14:paraId="07C80089" w14:textId="1DD6F1DA" w:rsidR="00B8012D" w:rsidRPr="00B8012D" w:rsidRDefault="00715771" w:rsidP="008417D7">
            <w:pPr>
              <w:jc w:val="left"/>
              <w:cnfStyle w:val="000000000000" w:firstRow="0" w:lastRow="0" w:firstColumn="0" w:lastColumn="0" w:oddVBand="0" w:evenVBand="0" w:oddHBand="0" w:evenHBand="0" w:firstRowFirstColumn="0" w:firstRowLastColumn="0" w:lastRowFirstColumn="0" w:lastRowLastColumn="0"/>
            </w:pPr>
            <w:r w:rsidRPr="00715771">
              <w:t>Vaccination reduces risk.</w:t>
            </w:r>
          </w:p>
        </w:tc>
      </w:tr>
      <w:tr w:rsidR="00715771" w14:paraId="21AC8559"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08771B51" w14:textId="0A82B0B4" w:rsidR="00715771" w:rsidRPr="00715771" w:rsidRDefault="00016E01" w:rsidP="00F55370">
            <w:pPr>
              <w:jc w:val="left"/>
            </w:pPr>
            <w:r w:rsidRPr="00016E01">
              <w:t>Ringworm</w:t>
            </w:r>
          </w:p>
        </w:tc>
        <w:tc>
          <w:tcPr>
            <w:tcW w:w="3477" w:type="dxa"/>
            <w:vAlign w:val="center"/>
          </w:tcPr>
          <w:p w14:paraId="5C5F9770" w14:textId="79FE2F40" w:rsidR="00715771" w:rsidRPr="00715771" w:rsidRDefault="00016E01" w:rsidP="008417D7">
            <w:pPr>
              <w:jc w:val="left"/>
              <w:cnfStyle w:val="000000100000" w:firstRow="0" w:lastRow="0" w:firstColumn="0" w:lastColumn="0" w:oddVBand="0" w:evenVBand="0" w:oddHBand="1" w:evenHBand="0" w:firstRowFirstColumn="0" w:firstRowLastColumn="0" w:lastRowFirstColumn="0" w:lastRowLastColumn="0"/>
            </w:pPr>
            <w:r w:rsidRPr="00016E01">
              <w:t>No exclusion if lesion is covered.</w:t>
            </w:r>
          </w:p>
        </w:tc>
        <w:tc>
          <w:tcPr>
            <w:tcW w:w="3478" w:type="dxa"/>
            <w:vAlign w:val="center"/>
          </w:tcPr>
          <w:p w14:paraId="5A41998C" w14:textId="73A78516" w:rsidR="00715771" w:rsidRPr="00715771" w:rsidRDefault="00016E01" w:rsidP="008417D7">
            <w:pPr>
              <w:jc w:val="left"/>
              <w:cnfStyle w:val="000000100000" w:firstRow="0" w:lastRow="0" w:firstColumn="0" w:lastColumn="0" w:oddVBand="0" w:evenVBand="0" w:oddHBand="1" w:evenHBand="0" w:firstRowFirstColumn="0" w:firstRowLastColumn="0" w:lastRowFirstColumn="0" w:lastRowLastColumn="0"/>
            </w:pPr>
            <w:r w:rsidRPr="00016E01">
              <w:t>Seek advice for scalp infections.</w:t>
            </w:r>
          </w:p>
        </w:tc>
      </w:tr>
      <w:tr w:rsidR="00016E01" w14:paraId="61AEC105"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5D37B46C" w14:textId="4D1D2BD1" w:rsidR="00016E01" w:rsidRPr="00016E01" w:rsidRDefault="00016E01" w:rsidP="00F55370">
            <w:pPr>
              <w:jc w:val="left"/>
            </w:pPr>
            <w:r w:rsidRPr="00016E01">
              <w:t>Scabies</w:t>
            </w:r>
          </w:p>
        </w:tc>
        <w:tc>
          <w:tcPr>
            <w:tcW w:w="3477" w:type="dxa"/>
            <w:vAlign w:val="center"/>
          </w:tcPr>
          <w:p w14:paraId="3D1184E7" w14:textId="1E1B6CA1" w:rsidR="00016E01" w:rsidRPr="00016E01" w:rsidRDefault="00016E01" w:rsidP="008417D7">
            <w:pPr>
              <w:jc w:val="left"/>
              <w:cnfStyle w:val="000000000000" w:firstRow="0" w:lastRow="0" w:firstColumn="0" w:lastColumn="0" w:oddVBand="0" w:evenVBand="0" w:oddHBand="0" w:evenHBand="0" w:firstRowFirstColumn="0" w:firstRowLastColumn="0" w:lastRowFirstColumn="0" w:lastRowLastColumn="0"/>
            </w:pPr>
            <w:r w:rsidRPr="00016E01">
              <w:t>Exclude until after first treatment.</w:t>
            </w:r>
          </w:p>
        </w:tc>
        <w:tc>
          <w:tcPr>
            <w:tcW w:w="3478" w:type="dxa"/>
            <w:vAlign w:val="center"/>
          </w:tcPr>
          <w:p w14:paraId="64245A72" w14:textId="07A70FF7" w:rsidR="00016E01" w:rsidRPr="00016E01" w:rsidRDefault="00016E01" w:rsidP="008417D7">
            <w:pPr>
              <w:jc w:val="left"/>
              <w:cnfStyle w:val="000000000000" w:firstRow="0" w:lastRow="0" w:firstColumn="0" w:lastColumn="0" w:oddVBand="0" w:evenVBand="0" w:oddHBand="0" w:evenHBand="0" w:firstRowFirstColumn="0" w:firstRowLastColumn="0" w:lastRowFirstColumn="0" w:lastRowLastColumn="0"/>
            </w:pPr>
            <w:r w:rsidRPr="00016E01">
              <w:t>Crusted scabies may require extended exclusion and multiple treatments.</w:t>
            </w:r>
          </w:p>
        </w:tc>
      </w:tr>
      <w:tr w:rsidR="00016E01" w14:paraId="257484DC"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2751B847" w14:textId="52C19ED0" w:rsidR="00016E01" w:rsidRPr="00016E01" w:rsidRDefault="00044AB8" w:rsidP="00F55370">
            <w:pPr>
              <w:jc w:val="left"/>
            </w:pPr>
            <w:r w:rsidRPr="00044AB8">
              <w:t>Shingles (Herpes Zoster)</w:t>
            </w:r>
          </w:p>
        </w:tc>
        <w:tc>
          <w:tcPr>
            <w:tcW w:w="3477" w:type="dxa"/>
            <w:vAlign w:val="center"/>
          </w:tcPr>
          <w:p w14:paraId="05174813" w14:textId="7AB21A77" w:rsidR="00016E01" w:rsidRPr="00016E01" w:rsidRDefault="00044AB8" w:rsidP="008417D7">
            <w:pPr>
              <w:jc w:val="left"/>
              <w:cnfStyle w:val="000000100000" w:firstRow="0" w:lastRow="0" w:firstColumn="0" w:lastColumn="0" w:oddVBand="0" w:evenVBand="0" w:oddHBand="1" w:evenHBand="0" w:firstRowFirstColumn="0" w:firstRowLastColumn="0" w:lastRowFirstColumn="0" w:lastRowLastColumn="0"/>
            </w:pPr>
            <w:r w:rsidRPr="00044AB8">
              <w:t>Exclude only if rash cannot be covered or if working with highly vulnerable patients.</w:t>
            </w:r>
          </w:p>
        </w:tc>
        <w:tc>
          <w:tcPr>
            <w:tcW w:w="3478" w:type="dxa"/>
            <w:vAlign w:val="center"/>
          </w:tcPr>
          <w:p w14:paraId="6934B0EE" w14:textId="00FAA65F" w:rsidR="00016E01" w:rsidRPr="00016E01" w:rsidRDefault="00044AB8" w:rsidP="008417D7">
            <w:pPr>
              <w:jc w:val="left"/>
              <w:cnfStyle w:val="000000100000" w:firstRow="0" w:lastRow="0" w:firstColumn="0" w:lastColumn="0" w:oddVBand="0" w:evenVBand="0" w:oddHBand="1" w:evenHBand="0" w:firstRowFirstColumn="0" w:firstRowLastColumn="0" w:lastRowFirstColumn="0" w:lastRowLastColumn="0"/>
            </w:pPr>
            <w:proofErr w:type="spellStart"/>
            <w:r w:rsidRPr="00044AB8">
              <w:t>IPaC</w:t>
            </w:r>
            <w:proofErr w:type="spellEnd"/>
            <w:r w:rsidRPr="00044AB8">
              <w:t xml:space="preserve"> advice recommended.</w:t>
            </w:r>
          </w:p>
        </w:tc>
      </w:tr>
      <w:tr w:rsidR="00044AB8" w14:paraId="7D090427"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28C1007E" w14:textId="10759686" w:rsidR="00044AB8" w:rsidRPr="00044AB8" w:rsidRDefault="002C7494" w:rsidP="00F55370">
            <w:pPr>
              <w:jc w:val="left"/>
            </w:pPr>
            <w:r w:rsidRPr="002C7494">
              <w:t>Group A Streptococcal Infection</w:t>
            </w:r>
          </w:p>
        </w:tc>
        <w:tc>
          <w:tcPr>
            <w:tcW w:w="3477" w:type="dxa"/>
            <w:vAlign w:val="center"/>
          </w:tcPr>
          <w:p w14:paraId="0F3CB77F" w14:textId="7BA0BE2F" w:rsidR="00044AB8" w:rsidRPr="00044AB8" w:rsidRDefault="002C7494" w:rsidP="008417D7">
            <w:pPr>
              <w:jc w:val="left"/>
              <w:cnfStyle w:val="000000000000" w:firstRow="0" w:lastRow="0" w:firstColumn="0" w:lastColumn="0" w:oddVBand="0" w:evenVBand="0" w:oddHBand="0" w:evenHBand="0" w:firstRowFirstColumn="0" w:firstRowLastColumn="0" w:lastRowFirstColumn="0" w:lastRowLastColumn="0"/>
            </w:pPr>
            <w:r w:rsidRPr="002C7494">
              <w:t>Exclude until 24-48 hours after starting appropriate antibiotic treatment and clinically well.</w:t>
            </w:r>
          </w:p>
        </w:tc>
        <w:tc>
          <w:tcPr>
            <w:tcW w:w="3478" w:type="dxa"/>
            <w:vAlign w:val="center"/>
          </w:tcPr>
          <w:p w14:paraId="27582ED2" w14:textId="36182D22" w:rsidR="00044AB8" w:rsidRPr="00044AB8" w:rsidRDefault="002C7494" w:rsidP="008417D7">
            <w:pPr>
              <w:jc w:val="left"/>
              <w:cnfStyle w:val="000000000000" w:firstRow="0" w:lastRow="0" w:firstColumn="0" w:lastColumn="0" w:oddVBand="0" w:evenVBand="0" w:oddHBand="0" w:evenHBand="0" w:firstRowFirstColumn="0" w:firstRowLastColumn="0" w:lastRowFirstColumn="0" w:lastRowLastColumn="0"/>
            </w:pPr>
            <w:r w:rsidRPr="002C7494">
              <w:t>Household contacts: monitor for symptoms.</w:t>
            </w:r>
          </w:p>
        </w:tc>
      </w:tr>
      <w:tr w:rsidR="002C7494" w14:paraId="75EAA559" w14:textId="77777777" w:rsidTr="00F55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Align w:val="center"/>
          </w:tcPr>
          <w:p w14:paraId="4C72A95F" w14:textId="0A1C55D2" w:rsidR="002C7494" w:rsidRPr="002C7494" w:rsidRDefault="006B5AC3" w:rsidP="00F55370">
            <w:pPr>
              <w:jc w:val="left"/>
            </w:pPr>
            <w:r w:rsidRPr="006B5AC3">
              <w:t>Pulmonary Tuberculosis (active)</w:t>
            </w:r>
          </w:p>
        </w:tc>
        <w:tc>
          <w:tcPr>
            <w:tcW w:w="3477" w:type="dxa"/>
            <w:vAlign w:val="center"/>
          </w:tcPr>
          <w:p w14:paraId="65D8780D" w14:textId="7C15032C" w:rsidR="002C7494" w:rsidRPr="002C7494" w:rsidRDefault="006B5AC3" w:rsidP="008417D7">
            <w:pPr>
              <w:jc w:val="left"/>
              <w:cnfStyle w:val="000000100000" w:firstRow="0" w:lastRow="0" w:firstColumn="0" w:lastColumn="0" w:oddVBand="0" w:evenVBand="0" w:oddHBand="1" w:evenHBand="0" w:firstRowFirstColumn="0" w:firstRowLastColumn="0" w:lastRowFirstColumn="0" w:lastRowLastColumn="0"/>
            </w:pPr>
            <w:r w:rsidRPr="006B5AC3">
              <w:t>Exclude until declared non-infectious by specialist.</w:t>
            </w:r>
          </w:p>
        </w:tc>
        <w:tc>
          <w:tcPr>
            <w:tcW w:w="3478" w:type="dxa"/>
            <w:vAlign w:val="center"/>
          </w:tcPr>
          <w:p w14:paraId="3C82830F" w14:textId="07DD60C4" w:rsidR="002C7494" w:rsidRPr="002C7494" w:rsidRDefault="006B5AC3" w:rsidP="008417D7">
            <w:pPr>
              <w:jc w:val="left"/>
              <w:cnfStyle w:val="000000100000" w:firstRow="0" w:lastRow="0" w:firstColumn="0" w:lastColumn="0" w:oddVBand="0" w:evenVBand="0" w:oddHBand="1" w:evenHBand="0" w:firstRowFirstColumn="0" w:firstRowLastColumn="0" w:lastRowFirstColumn="0" w:lastRowLastColumn="0"/>
            </w:pPr>
            <w:r w:rsidRPr="006B5AC3">
              <w:t>Screening and clearance for staff exposure.</w:t>
            </w:r>
          </w:p>
        </w:tc>
      </w:tr>
      <w:tr w:rsidR="006B5AC3" w14:paraId="2FB4B1E4" w14:textId="77777777" w:rsidTr="00F55370">
        <w:tc>
          <w:tcPr>
            <w:cnfStyle w:val="001000000000" w:firstRow="0" w:lastRow="0" w:firstColumn="1" w:lastColumn="0" w:oddVBand="0" w:evenVBand="0" w:oddHBand="0" w:evenHBand="0" w:firstRowFirstColumn="0" w:firstRowLastColumn="0" w:lastRowFirstColumn="0" w:lastRowLastColumn="0"/>
            <w:tcW w:w="2254" w:type="dxa"/>
            <w:vAlign w:val="center"/>
          </w:tcPr>
          <w:p w14:paraId="14EB92C9" w14:textId="03CF54EA" w:rsidR="006B5AC3" w:rsidRPr="006B5AC3" w:rsidRDefault="006B5AC3" w:rsidP="00F55370">
            <w:pPr>
              <w:jc w:val="left"/>
            </w:pPr>
            <w:r w:rsidRPr="006B5AC3">
              <w:t>Whooping Cough (Pertussis)</w:t>
            </w:r>
          </w:p>
        </w:tc>
        <w:tc>
          <w:tcPr>
            <w:tcW w:w="3477" w:type="dxa"/>
            <w:vAlign w:val="center"/>
          </w:tcPr>
          <w:p w14:paraId="2C6AE484" w14:textId="1A8D4F69" w:rsidR="006B5AC3" w:rsidRPr="006B5AC3" w:rsidRDefault="006B5AC3" w:rsidP="008417D7">
            <w:pPr>
              <w:jc w:val="left"/>
              <w:cnfStyle w:val="000000000000" w:firstRow="0" w:lastRow="0" w:firstColumn="0" w:lastColumn="0" w:oddVBand="0" w:evenVBand="0" w:oddHBand="0" w:evenHBand="0" w:firstRowFirstColumn="0" w:firstRowLastColumn="0" w:lastRowFirstColumn="0" w:lastRowLastColumn="0"/>
            </w:pPr>
            <w:r w:rsidRPr="006B5AC3">
              <w:t>Exclude until 2 days after starting appropriate antibiotic treatment or 21 days after symptom onset if untreated.</w:t>
            </w:r>
          </w:p>
        </w:tc>
        <w:tc>
          <w:tcPr>
            <w:tcW w:w="3478" w:type="dxa"/>
            <w:vAlign w:val="center"/>
          </w:tcPr>
          <w:p w14:paraId="1BCD57F9" w14:textId="4DBC1C7A" w:rsidR="006B5AC3" w:rsidRPr="006B5AC3" w:rsidRDefault="006B5AC3" w:rsidP="008417D7">
            <w:pPr>
              <w:jc w:val="left"/>
              <w:cnfStyle w:val="000000000000" w:firstRow="0" w:lastRow="0" w:firstColumn="0" w:lastColumn="0" w:oddVBand="0" w:evenVBand="0" w:oddHBand="0" w:evenHBand="0" w:firstRowFirstColumn="0" w:firstRowLastColumn="0" w:lastRowFirstColumn="0" w:lastRowLastColumn="0"/>
            </w:pPr>
            <w:r w:rsidRPr="006B5AC3">
              <w:t>Vulnerable patient contact may require longer exclusion.</w:t>
            </w:r>
          </w:p>
        </w:tc>
      </w:tr>
    </w:tbl>
    <w:p w14:paraId="0880EDFF" w14:textId="77777777" w:rsidR="00883C81" w:rsidRPr="00080DD3" w:rsidRDefault="00883C81" w:rsidP="00080DD3"/>
    <w:p w14:paraId="4EA34881" w14:textId="1AE316C9" w:rsidR="00AA26D2" w:rsidRDefault="00F37995" w:rsidP="00AA26D2">
      <w:pPr>
        <w:pStyle w:val="Heading2"/>
      </w:pPr>
      <w:bookmarkStart w:id="12" w:name="_Toc200009609"/>
      <w:r w:rsidRPr="00F37995">
        <w:lastRenderedPageBreak/>
        <w:t>Additional Considerations</w:t>
      </w:r>
      <w:bookmarkEnd w:id="12"/>
    </w:p>
    <w:p w14:paraId="1BF18E6F" w14:textId="47894729" w:rsidR="008049C0" w:rsidRDefault="008049C0" w:rsidP="008049C0">
      <w:r>
        <w:t xml:space="preserve">Where the appropriate course of action is unclear or where staff present with infections not specifically covered in this policy, line managers must seek timely advice from the Occupational Health provider or </w:t>
      </w:r>
      <w:r w:rsidR="00F54AEF">
        <w:t>Health and Care</w:t>
      </w:r>
      <w:r w:rsidR="00D00611">
        <w:t xml:space="preserve"> Jersey’s</w:t>
      </w:r>
      <w:r w:rsidR="008956B5">
        <w:t xml:space="preserve"> (HCJ)</w:t>
      </w:r>
      <w:r>
        <w:t xml:space="preserve"> Infection Prevention and Control (</w:t>
      </w:r>
      <w:proofErr w:type="spellStart"/>
      <w:r>
        <w:t>IPaC</w:t>
      </w:r>
      <w:proofErr w:type="spellEnd"/>
      <w:r>
        <w:t>) Team.</w:t>
      </w:r>
    </w:p>
    <w:p w14:paraId="1CF1FB8A" w14:textId="77777777" w:rsidR="008049C0" w:rsidRDefault="008049C0" w:rsidP="008049C0"/>
    <w:p w14:paraId="0A4B8DFD" w14:textId="4F22B4C0" w:rsidR="008049C0" w:rsidRDefault="008049C0" w:rsidP="008049C0">
      <w:r>
        <w:t xml:space="preserve">All absence from work due to infection or exposure to infection must be managed in accordance with FNHC’s </w:t>
      </w:r>
      <w:hyperlink r:id="rId15" w:history="1">
        <w:r w:rsidR="008F4CD0" w:rsidRPr="002A1A78">
          <w:rPr>
            <w:rStyle w:val="Hyperlink"/>
          </w:rPr>
          <w:t>Supporting Attendance</w:t>
        </w:r>
        <w:r w:rsidRPr="002A1A78">
          <w:rPr>
            <w:rStyle w:val="Hyperlink"/>
          </w:rPr>
          <w:t xml:space="preserve"> </w:t>
        </w:r>
        <w:r w:rsidR="008F4CD0" w:rsidRPr="002A1A78">
          <w:rPr>
            <w:rStyle w:val="Hyperlink"/>
          </w:rPr>
          <w:t>P</w:t>
        </w:r>
        <w:r w:rsidRPr="002A1A78">
          <w:rPr>
            <w:rStyle w:val="Hyperlink"/>
          </w:rPr>
          <w:t>olic</w:t>
        </w:r>
        <w:r w:rsidR="008F4CD0" w:rsidRPr="002A1A78">
          <w:rPr>
            <w:rStyle w:val="Hyperlink"/>
          </w:rPr>
          <w:t>y</w:t>
        </w:r>
      </w:hyperlink>
      <w:r>
        <w:t xml:space="preserve">. Where exclusion is recommended on occupational grounds rather than due to illness, this may not be </w:t>
      </w:r>
      <w:r w:rsidR="008511B3">
        <w:t>considered</w:t>
      </w:r>
      <w:r>
        <w:t xml:space="preserve"> standard sickness absence, subject to HR confirmation.</w:t>
      </w:r>
    </w:p>
    <w:p w14:paraId="0F92E6E0" w14:textId="77777777" w:rsidR="008049C0" w:rsidRDefault="008049C0" w:rsidP="008049C0"/>
    <w:p w14:paraId="11AFC930" w14:textId="77777777" w:rsidR="008049C0" w:rsidRDefault="008049C0" w:rsidP="008049C0">
      <w:r>
        <w:t>Managers are responsible for documenting any advice received and the rationale for exclusion or return-to-work decisions. This documentation should be retained in line with FNHC’s record-keeping and confidentiality policies.</w:t>
      </w:r>
    </w:p>
    <w:p w14:paraId="1FC5F78D" w14:textId="77777777" w:rsidR="008049C0" w:rsidRDefault="008049C0" w:rsidP="008049C0"/>
    <w:p w14:paraId="0286E843" w14:textId="0E7B5266" w:rsidR="00F37995" w:rsidRPr="00F37995" w:rsidRDefault="008049C0" w:rsidP="008049C0">
      <w:r>
        <w:t xml:space="preserve">Emerging infections or outbreaks may necessitate updates to this guidance. Staff and managers must ensure they are following the most up-to-date information provided by the UK Health Security Agency (UKHSA), the </w:t>
      </w:r>
      <w:r w:rsidR="008956B5">
        <w:t>Health and Care Jersey (</w:t>
      </w:r>
      <w:r w:rsidR="00121B3A">
        <w:t>HCJ) Infection</w:t>
      </w:r>
      <w:r>
        <w:t xml:space="preserve"> Prevention and Control (</w:t>
      </w:r>
      <w:proofErr w:type="spellStart"/>
      <w:r>
        <w:t>IPaC</w:t>
      </w:r>
      <w:proofErr w:type="spellEnd"/>
      <w:r>
        <w:t>) Team, and FNHC leadership.</w:t>
      </w:r>
    </w:p>
    <w:p w14:paraId="69216A08" w14:textId="70FFA854" w:rsidR="00DA3FE7" w:rsidRPr="00DA3FE7" w:rsidRDefault="00DA3FE7" w:rsidP="00121B3A"/>
    <w:p w14:paraId="41EDA7B2" w14:textId="77777777" w:rsidR="00856DE7" w:rsidRPr="00856DE7" w:rsidRDefault="00856DE7" w:rsidP="00856DE7">
      <w:pPr>
        <w:pStyle w:val="Heading1"/>
        <w:ind w:hanging="530"/>
      </w:pPr>
      <w:bookmarkStart w:id="13" w:name="_Toc200009610"/>
      <w:r w:rsidRPr="00856DE7">
        <w:t>MONITORING COMPLIANCE</w:t>
      </w:r>
      <w:bookmarkEnd w:id="13"/>
    </w:p>
    <w:p w14:paraId="3AD24CDE" w14:textId="64577DE5" w:rsidR="005F4024" w:rsidRPr="005F4024" w:rsidRDefault="005F4024" w:rsidP="005F4024">
      <w:pPr>
        <w:rPr>
          <w:iCs/>
        </w:rPr>
      </w:pPr>
      <w:r w:rsidRPr="005F4024">
        <w:rPr>
          <w:iCs/>
        </w:rPr>
        <w:t xml:space="preserve">Compliance with this policy </w:t>
      </w:r>
      <w:r w:rsidR="00F9181C">
        <w:rPr>
          <w:iCs/>
        </w:rPr>
        <w:t>may</w:t>
      </w:r>
      <w:r w:rsidRPr="005F4024">
        <w:rPr>
          <w:iCs/>
        </w:rPr>
        <w:t xml:space="preserve"> be monitored at multiple levels:</w:t>
      </w:r>
    </w:p>
    <w:p w14:paraId="21AFDD3D" w14:textId="77777777" w:rsidR="00E20621" w:rsidRDefault="005F4024" w:rsidP="005F4024">
      <w:pPr>
        <w:pStyle w:val="ListParagraph"/>
        <w:numPr>
          <w:ilvl w:val="0"/>
          <w:numId w:val="33"/>
        </w:numPr>
        <w:rPr>
          <w:iCs/>
        </w:rPr>
      </w:pPr>
      <w:r w:rsidRPr="005F4024">
        <w:rPr>
          <w:iCs/>
        </w:rPr>
        <w:t>Line Managers will ensure local implementation through routine supervision, adherence to exclusion guidance, and documentation of infection-related absence. Line Managers are responsible for auditing compliance within their teams, including follow-up of incidents and near misses.</w:t>
      </w:r>
    </w:p>
    <w:p w14:paraId="13DA858E" w14:textId="77777777" w:rsidR="00E20621" w:rsidRDefault="005F4024" w:rsidP="005F4024">
      <w:pPr>
        <w:pStyle w:val="ListParagraph"/>
        <w:numPr>
          <w:ilvl w:val="0"/>
          <w:numId w:val="33"/>
        </w:numPr>
        <w:rPr>
          <w:iCs/>
        </w:rPr>
      </w:pPr>
      <w:r w:rsidRPr="00E20621">
        <w:rPr>
          <w:iCs/>
        </w:rPr>
        <w:t>Human Resources (HR) will oversee the consistent application of sickness absence policies and track patterns of infection-related absences to identify any emerging trends or areas requiring intervention.</w:t>
      </w:r>
    </w:p>
    <w:p w14:paraId="73AD3600" w14:textId="77777777" w:rsidR="00E20621" w:rsidRDefault="005F4024" w:rsidP="005F4024">
      <w:pPr>
        <w:pStyle w:val="ListParagraph"/>
        <w:numPr>
          <w:ilvl w:val="0"/>
          <w:numId w:val="33"/>
        </w:numPr>
        <w:rPr>
          <w:iCs/>
        </w:rPr>
      </w:pPr>
      <w:r w:rsidRPr="00E20621">
        <w:rPr>
          <w:iCs/>
        </w:rPr>
        <w:t>Occupational Health will provide expert input on individual cases, support managers in decision-making, and contribute to periodic reviews of staff health-related data where appropriate.</w:t>
      </w:r>
    </w:p>
    <w:p w14:paraId="0D8BF39B" w14:textId="1489FF02" w:rsidR="005F4024" w:rsidRPr="00E20621" w:rsidRDefault="005F4024" w:rsidP="005F4024">
      <w:pPr>
        <w:pStyle w:val="ListParagraph"/>
        <w:numPr>
          <w:ilvl w:val="0"/>
          <w:numId w:val="33"/>
        </w:numPr>
        <w:rPr>
          <w:iCs/>
        </w:rPr>
      </w:pPr>
      <w:r w:rsidRPr="00E20621">
        <w:rPr>
          <w:iCs/>
        </w:rPr>
        <w:t xml:space="preserve">Quality </w:t>
      </w:r>
      <w:r w:rsidR="00093CEB">
        <w:rPr>
          <w:iCs/>
        </w:rPr>
        <w:t>and Safety team</w:t>
      </w:r>
      <w:r w:rsidRPr="00E20621">
        <w:rPr>
          <w:iCs/>
        </w:rPr>
        <w:t xml:space="preserve"> may conduct periodic audits or reviews to ensure the policy remains aligned with best practice and is applied consistently across FNHC.</w:t>
      </w:r>
    </w:p>
    <w:p w14:paraId="03DFFAB7" w14:textId="6CF35852" w:rsidR="00233DA9" w:rsidRDefault="005F4024" w:rsidP="005F4024">
      <w:r w:rsidRPr="005F4024">
        <w:rPr>
          <w:iCs/>
        </w:rPr>
        <w:t xml:space="preserve">Any significant concerns or breaches will be reported through the </w:t>
      </w:r>
      <w:proofErr w:type="spellStart"/>
      <w:r w:rsidRPr="005F4024">
        <w:rPr>
          <w:iCs/>
        </w:rPr>
        <w:t>organisation’s</w:t>
      </w:r>
      <w:proofErr w:type="spellEnd"/>
      <w:r w:rsidRPr="005F4024">
        <w:rPr>
          <w:iCs/>
        </w:rPr>
        <w:t xml:space="preserve"> incident reporting system.</w:t>
      </w:r>
    </w:p>
    <w:p w14:paraId="464CD782" w14:textId="68ABCE5E" w:rsidR="00A00AAC" w:rsidRPr="00A36B01" w:rsidRDefault="00942F86" w:rsidP="00856DE7">
      <w:pPr>
        <w:pStyle w:val="Heading1"/>
        <w:ind w:hanging="530"/>
      </w:pPr>
      <w:bookmarkStart w:id="14" w:name="_Toc200009611"/>
      <w:r w:rsidRPr="00856DE7">
        <w:lastRenderedPageBreak/>
        <w:t>CONSULTATION PROCESS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rsidTr="005F1A1C">
        <w:tc>
          <w:tcPr>
            <w:tcW w:w="2988" w:type="dxa"/>
            <w:shd w:val="clear" w:color="auto" w:fill="E0E0E0"/>
            <w:vAlign w:val="center"/>
          </w:tcPr>
          <w:p w14:paraId="0CF467AD" w14:textId="77777777" w:rsidR="00A00AAC" w:rsidRPr="00856DE7" w:rsidRDefault="00A00AAC" w:rsidP="005F1A1C">
            <w:pPr>
              <w:spacing w:after="120"/>
              <w:jc w:val="center"/>
              <w:rPr>
                <w:rFonts w:cs="Arial"/>
                <w:b/>
                <w:szCs w:val="22"/>
              </w:rPr>
            </w:pPr>
            <w:r w:rsidRPr="00856DE7">
              <w:rPr>
                <w:rFonts w:cs="Arial"/>
                <w:b/>
                <w:szCs w:val="22"/>
              </w:rPr>
              <w:t>Name</w:t>
            </w:r>
          </w:p>
        </w:tc>
        <w:tc>
          <w:tcPr>
            <w:tcW w:w="3240" w:type="dxa"/>
            <w:shd w:val="clear" w:color="auto" w:fill="E0E0E0"/>
            <w:vAlign w:val="center"/>
          </w:tcPr>
          <w:p w14:paraId="173A1C56" w14:textId="77777777" w:rsidR="00A00AAC" w:rsidRPr="00856DE7" w:rsidRDefault="00A00AAC" w:rsidP="005F1A1C">
            <w:pPr>
              <w:spacing w:after="120"/>
              <w:jc w:val="center"/>
              <w:rPr>
                <w:rFonts w:cs="Arial"/>
                <w:b/>
                <w:szCs w:val="22"/>
              </w:rPr>
            </w:pPr>
            <w:r w:rsidRPr="00856DE7">
              <w:rPr>
                <w:rFonts w:cs="Arial"/>
                <w:b/>
                <w:szCs w:val="22"/>
              </w:rPr>
              <w:t>Title</w:t>
            </w:r>
          </w:p>
        </w:tc>
        <w:tc>
          <w:tcPr>
            <w:tcW w:w="2628" w:type="dxa"/>
            <w:shd w:val="clear" w:color="auto" w:fill="E0E0E0"/>
            <w:vAlign w:val="center"/>
          </w:tcPr>
          <w:p w14:paraId="2B5DC378" w14:textId="77777777" w:rsidR="00A00AAC" w:rsidRPr="00856DE7" w:rsidRDefault="00A00AAC" w:rsidP="005F1A1C">
            <w:pPr>
              <w:spacing w:after="120"/>
              <w:jc w:val="center"/>
              <w:rPr>
                <w:rFonts w:cs="Arial"/>
                <w:b/>
                <w:szCs w:val="22"/>
              </w:rPr>
            </w:pPr>
            <w:r w:rsidRPr="00856DE7">
              <w:rPr>
                <w:rFonts w:cs="Arial"/>
                <w:b/>
                <w:szCs w:val="22"/>
              </w:rPr>
              <w:t>Date</w:t>
            </w:r>
          </w:p>
        </w:tc>
      </w:tr>
      <w:tr w:rsidR="00B101F1" w:rsidRPr="00856DE7" w14:paraId="4336F66A" w14:textId="77777777" w:rsidTr="001544CB">
        <w:tc>
          <w:tcPr>
            <w:tcW w:w="2988" w:type="dxa"/>
            <w:shd w:val="clear" w:color="auto" w:fill="auto"/>
            <w:vAlign w:val="center"/>
          </w:tcPr>
          <w:p w14:paraId="493C6A40" w14:textId="3FADDEDE" w:rsidR="00B101F1" w:rsidRPr="00856DE7" w:rsidRDefault="00B101F1" w:rsidP="005F1A1C">
            <w:pPr>
              <w:jc w:val="left"/>
              <w:rPr>
                <w:rFonts w:cs="Arial"/>
                <w:szCs w:val="22"/>
              </w:rPr>
            </w:pPr>
            <w:r>
              <w:rPr>
                <w:rFonts w:cs="Arial"/>
                <w:szCs w:val="22"/>
              </w:rPr>
              <w:t>Claire White</w:t>
            </w:r>
          </w:p>
        </w:tc>
        <w:tc>
          <w:tcPr>
            <w:tcW w:w="3240" w:type="dxa"/>
            <w:shd w:val="clear" w:color="auto" w:fill="auto"/>
            <w:vAlign w:val="center"/>
          </w:tcPr>
          <w:p w14:paraId="2DC4EB39" w14:textId="6D7CA3F1" w:rsidR="00B101F1" w:rsidRPr="00856DE7" w:rsidRDefault="00B101F1" w:rsidP="005F1A1C">
            <w:pPr>
              <w:jc w:val="left"/>
              <w:rPr>
                <w:rFonts w:cs="Arial"/>
                <w:szCs w:val="22"/>
              </w:rPr>
            </w:pPr>
            <w:r>
              <w:rPr>
                <w:rFonts w:cs="Arial"/>
                <w:szCs w:val="22"/>
              </w:rPr>
              <w:t>Director of Governance and Care</w:t>
            </w:r>
          </w:p>
        </w:tc>
        <w:tc>
          <w:tcPr>
            <w:tcW w:w="2628" w:type="dxa"/>
            <w:vMerge w:val="restart"/>
            <w:shd w:val="clear" w:color="auto" w:fill="auto"/>
            <w:vAlign w:val="center"/>
          </w:tcPr>
          <w:p w14:paraId="7680B89B" w14:textId="4ED4F01E" w:rsidR="00B101F1" w:rsidRPr="00856DE7" w:rsidRDefault="001544CB" w:rsidP="001544CB">
            <w:pPr>
              <w:jc w:val="center"/>
              <w:rPr>
                <w:rFonts w:cs="Arial"/>
                <w:szCs w:val="22"/>
              </w:rPr>
            </w:pPr>
            <w:r>
              <w:rPr>
                <w:rFonts w:cs="Arial"/>
                <w:szCs w:val="22"/>
              </w:rPr>
              <w:t>1</w:t>
            </w:r>
            <w:r w:rsidRPr="001544CB">
              <w:rPr>
                <w:rFonts w:cs="Arial"/>
                <w:szCs w:val="22"/>
                <w:vertAlign w:val="superscript"/>
              </w:rPr>
              <w:t>st</w:t>
            </w:r>
            <w:r>
              <w:rPr>
                <w:rFonts w:cs="Arial"/>
                <w:szCs w:val="22"/>
              </w:rPr>
              <w:t xml:space="preserve"> May 2025</w:t>
            </w:r>
          </w:p>
        </w:tc>
      </w:tr>
      <w:tr w:rsidR="00B101F1" w:rsidRPr="00856DE7" w14:paraId="4D01A546" w14:textId="77777777" w:rsidTr="005F1A1C">
        <w:tc>
          <w:tcPr>
            <w:tcW w:w="2988" w:type="dxa"/>
            <w:shd w:val="clear" w:color="auto" w:fill="auto"/>
            <w:vAlign w:val="center"/>
          </w:tcPr>
          <w:p w14:paraId="2E980DC3" w14:textId="061BEE12" w:rsidR="00B101F1" w:rsidRPr="00856DE7" w:rsidRDefault="00B101F1" w:rsidP="005F1A1C">
            <w:pPr>
              <w:jc w:val="left"/>
              <w:rPr>
                <w:rFonts w:cs="Arial"/>
                <w:szCs w:val="22"/>
              </w:rPr>
            </w:pPr>
            <w:r>
              <w:rPr>
                <w:rFonts w:cs="Arial"/>
                <w:szCs w:val="22"/>
              </w:rPr>
              <w:t>Elspeth Snowie</w:t>
            </w:r>
          </w:p>
        </w:tc>
        <w:tc>
          <w:tcPr>
            <w:tcW w:w="3240" w:type="dxa"/>
            <w:shd w:val="clear" w:color="auto" w:fill="auto"/>
            <w:vAlign w:val="center"/>
          </w:tcPr>
          <w:p w14:paraId="1A54AFBC" w14:textId="73672286" w:rsidR="00B101F1" w:rsidRPr="00856DE7" w:rsidRDefault="00B101F1" w:rsidP="005F1A1C">
            <w:pPr>
              <w:jc w:val="left"/>
              <w:rPr>
                <w:rFonts w:cs="Arial"/>
                <w:szCs w:val="22"/>
              </w:rPr>
            </w:pPr>
            <w:r>
              <w:rPr>
                <w:rFonts w:cs="Arial"/>
                <w:szCs w:val="22"/>
              </w:rPr>
              <w:t>Head of Quality and Safety</w:t>
            </w:r>
          </w:p>
        </w:tc>
        <w:tc>
          <w:tcPr>
            <w:tcW w:w="2628" w:type="dxa"/>
            <w:vMerge/>
            <w:shd w:val="clear" w:color="auto" w:fill="auto"/>
            <w:vAlign w:val="center"/>
          </w:tcPr>
          <w:p w14:paraId="3DE6741F" w14:textId="77777777" w:rsidR="00B101F1" w:rsidRPr="00856DE7" w:rsidRDefault="00B101F1" w:rsidP="005F1A1C">
            <w:pPr>
              <w:jc w:val="left"/>
              <w:rPr>
                <w:rFonts w:cs="Arial"/>
                <w:szCs w:val="22"/>
              </w:rPr>
            </w:pPr>
          </w:p>
        </w:tc>
      </w:tr>
      <w:tr w:rsidR="00B101F1" w:rsidRPr="00856DE7" w14:paraId="47C252A0" w14:textId="77777777" w:rsidTr="005F1A1C">
        <w:tc>
          <w:tcPr>
            <w:tcW w:w="2988" w:type="dxa"/>
            <w:shd w:val="clear" w:color="auto" w:fill="auto"/>
            <w:vAlign w:val="center"/>
          </w:tcPr>
          <w:p w14:paraId="532E4A5E" w14:textId="67A7125E" w:rsidR="00B101F1" w:rsidRPr="00856DE7" w:rsidRDefault="00B101F1" w:rsidP="005F1A1C">
            <w:pPr>
              <w:jc w:val="left"/>
              <w:rPr>
                <w:rFonts w:cs="Arial"/>
                <w:szCs w:val="22"/>
              </w:rPr>
            </w:pPr>
            <w:r>
              <w:rPr>
                <w:rFonts w:cs="Arial"/>
                <w:szCs w:val="22"/>
              </w:rPr>
              <w:t>Tia Hall</w:t>
            </w:r>
          </w:p>
        </w:tc>
        <w:tc>
          <w:tcPr>
            <w:tcW w:w="3240" w:type="dxa"/>
            <w:shd w:val="clear" w:color="auto" w:fill="auto"/>
            <w:vAlign w:val="center"/>
          </w:tcPr>
          <w:p w14:paraId="31E7CD1E" w14:textId="09BCA48B" w:rsidR="00B101F1" w:rsidRPr="00856DE7" w:rsidRDefault="00B101F1" w:rsidP="005F1A1C">
            <w:pPr>
              <w:jc w:val="left"/>
              <w:rPr>
                <w:rFonts w:cs="Arial"/>
                <w:szCs w:val="22"/>
              </w:rPr>
            </w:pPr>
            <w:r>
              <w:rPr>
                <w:rFonts w:cs="Arial"/>
                <w:szCs w:val="22"/>
              </w:rPr>
              <w:t>Operational Lead / Registered Manager – Adult Services</w:t>
            </w:r>
          </w:p>
        </w:tc>
        <w:tc>
          <w:tcPr>
            <w:tcW w:w="2628" w:type="dxa"/>
            <w:vMerge/>
            <w:shd w:val="clear" w:color="auto" w:fill="auto"/>
            <w:vAlign w:val="center"/>
          </w:tcPr>
          <w:p w14:paraId="24B4D0FD" w14:textId="77777777" w:rsidR="00B101F1" w:rsidRPr="00856DE7" w:rsidRDefault="00B101F1" w:rsidP="005F1A1C">
            <w:pPr>
              <w:jc w:val="left"/>
              <w:rPr>
                <w:rFonts w:cs="Arial"/>
                <w:szCs w:val="22"/>
              </w:rPr>
            </w:pPr>
          </w:p>
        </w:tc>
      </w:tr>
      <w:tr w:rsidR="00B101F1" w:rsidRPr="00856DE7" w14:paraId="5A404FFD" w14:textId="77777777" w:rsidTr="005F1A1C">
        <w:tc>
          <w:tcPr>
            <w:tcW w:w="2988" w:type="dxa"/>
            <w:shd w:val="clear" w:color="auto" w:fill="auto"/>
            <w:vAlign w:val="center"/>
          </w:tcPr>
          <w:p w14:paraId="04E8A05E" w14:textId="75C949D7" w:rsidR="00B101F1" w:rsidRPr="00856DE7" w:rsidRDefault="00B101F1" w:rsidP="005F1A1C">
            <w:pPr>
              <w:jc w:val="left"/>
              <w:rPr>
                <w:rFonts w:cs="Arial"/>
                <w:szCs w:val="22"/>
              </w:rPr>
            </w:pPr>
            <w:r>
              <w:rPr>
                <w:rFonts w:cs="Arial"/>
                <w:szCs w:val="22"/>
              </w:rPr>
              <w:t>Michelle Cumming</w:t>
            </w:r>
          </w:p>
        </w:tc>
        <w:tc>
          <w:tcPr>
            <w:tcW w:w="3240" w:type="dxa"/>
            <w:shd w:val="clear" w:color="auto" w:fill="auto"/>
            <w:vAlign w:val="center"/>
          </w:tcPr>
          <w:p w14:paraId="6B5CDA43" w14:textId="0DD04699" w:rsidR="00B101F1" w:rsidRPr="00856DE7" w:rsidRDefault="00B101F1" w:rsidP="005F1A1C">
            <w:pPr>
              <w:jc w:val="left"/>
              <w:rPr>
                <w:rFonts w:cs="Arial"/>
                <w:szCs w:val="22"/>
              </w:rPr>
            </w:pPr>
            <w:r>
              <w:rPr>
                <w:rFonts w:cs="Arial"/>
                <w:szCs w:val="22"/>
              </w:rPr>
              <w:t>Operational Lead / Registered Manager – Child and Family Services</w:t>
            </w:r>
          </w:p>
        </w:tc>
        <w:tc>
          <w:tcPr>
            <w:tcW w:w="2628" w:type="dxa"/>
            <w:vMerge/>
            <w:shd w:val="clear" w:color="auto" w:fill="auto"/>
            <w:vAlign w:val="center"/>
          </w:tcPr>
          <w:p w14:paraId="642E2B4F" w14:textId="77777777" w:rsidR="00B101F1" w:rsidRPr="00856DE7" w:rsidRDefault="00B101F1" w:rsidP="005F1A1C">
            <w:pPr>
              <w:jc w:val="left"/>
              <w:rPr>
                <w:rFonts w:cs="Arial"/>
                <w:szCs w:val="22"/>
              </w:rPr>
            </w:pPr>
          </w:p>
        </w:tc>
      </w:tr>
      <w:tr w:rsidR="00B101F1" w:rsidRPr="00856DE7" w14:paraId="7CDDB071" w14:textId="77777777" w:rsidTr="005F1A1C">
        <w:tc>
          <w:tcPr>
            <w:tcW w:w="2988" w:type="dxa"/>
            <w:shd w:val="clear" w:color="auto" w:fill="auto"/>
            <w:vAlign w:val="center"/>
          </w:tcPr>
          <w:p w14:paraId="70497207" w14:textId="41B62ED8" w:rsidR="00B101F1" w:rsidRPr="00856DE7" w:rsidRDefault="00B101F1" w:rsidP="005F1A1C">
            <w:pPr>
              <w:jc w:val="left"/>
              <w:rPr>
                <w:rFonts w:cs="Arial"/>
                <w:szCs w:val="22"/>
              </w:rPr>
            </w:pPr>
            <w:r>
              <w:rPr>
                <w:rFonts w:cs="Arial"/>
                <w:szCs w:val="22"/>
              </w:rPr>
              <w:t>Teri O’ Connor</w:t>
            </w:r>
          </w:p>
        </w:tc>
        <w:tc>
          <w:tcPr>
            <w:tcW w:w="3240" w:type="dxa"/>
            <w:shd w:val="clear" w:color="auto" w:fill="auto"/>
            <w:vAlign w:val="center"/>
          </w:tcPr>
          <w:p w14:paraId="4CA85D92" w14:textId="6EDE706A" w:rsidR="00B101F1" w:rsidRPr="00856DE7" w:rsidRDefault="00B101F1" w:rsidP="005F1A1C">
            <w:pPr>
              <w:jc w:val="left"/>
              <w:rPr>
                <w:rFonts w:cs="Arial"/>
                <w:szCs w:val="22"/>
              </w:rPr>
            </w:pPr>
            <w:r>
              <w:rPr>
                <w:rFonts w:cs="Arial"/>
                <w:szCs w:val="22"/>
              </w:rPr>
              <w:t>Registered Manager – Home Care Service</w:t>
            </w:r>
          </w:p>
        </w:tc>
        <w:tc>
          <w:tcPr>
            <w:tcW w:w="2628" w:type="dxa"/>
            <w:vMerge/>
            <w:shd w:val="clear" w:color="auto" w:fill="auto"/>
            <w:vAlign w:val="center"/>
          </w:tcPr>
          <w:p w14:paraId="721A7A96" w14:textId="77777777" w:rsidR="00B101F1" w:rsidRPr="00856DE7" w:rsidRDefault="00B101F1" w:rsidP="005F1A1C">
            <w:pPr>
              <w:jc w:val="left"/>
              <w:rPr>
                <w:rFonts w:cs="Arial"/>
                <w:szCs w:val="22"/>
              </w:rPr>
            </w:pPr>
          </w:p>
        </w:tc>
      </w:tr>
      <w:tr w:rsidR="00B101F1" w:rsidRPr="00856DE7" w14:paraId="2005EA5B" w14:textId="77777777" w:rsidTr="005F1A1C">
        <w:tc>
          <w:tcPr>
            <w:tcW w:w="2988" w:type="dxa"/>
            <w:shd w:val="clear" w:color="auto" w:fill="auto"/>
            <w:vAlign w:val="center"/>
          </w:tcPr>
          <w:p w14:paraId="5FC6EB3D" w14:textId="11F175F3" w:rsidR="00B101F1" w:rsidRPr="00856DE7" w:rsidRDefault="00B101F1" w:rsidP="005F1A1C">
            <w:pPr>
              <w:jc w:val="left"/>
              <w:rPr>
                <w:rFonts w:cs="Arial"/>
                <w:szCs w:val="22"/>
              </w:rPr>
            </w:pPr>
            <w:r>
              <w:rPr>
                <w:rFonts w:cs="Arial"/>
                <w:szCs w:val="22"/>
              </w:rPr>
              <w:t>Amanda de Freitas</w:t>
            </w:r>
          </w:p>
        </w:tc>
        <w:tc>
          <w:tcPr>
            <w:tcW w:w="3240" w:type="dxa"/>
            <w:shd w:val="clear" w:color="auto" w:fill="auto"/>
            <w:vAlign w:val="center"/>
          </w:tcPr>
          <w:p w14:paraId="6D3B7DAA" w14:textId="0FFCA7C4" w:rsidR="00B101F1" w:rsidRPr="00856DE7" w:rsidRDefault="00B101F1" w:rsidP="005F1A1C">
            <w:pPr>
              <w:jc w:val="left"/>
              <w:rPr>
                <w:rFonts w:cs="Arial"/>
                <w:szCs w:val="22"/>
              </w:rPr>
            </w:pPr>
            <w:r>
              <w:rPr>
                <w:rFonts w:cs="Arial"/>
                <w:szCs w:val="22"/>
              </w:rPr>
              <w:t>Head of Human Resources</w:t>
            </w:r>
          </w:p>
        </w:tc>
        <w:tc>
          <w:tcPr>
            <w:tcW w:w="2628" w:type="dxa"/>
            <w:vMerge/>
            <w:shd w:val="clear" w:color="auto" w:fill="auto"/>
            <w:vAlign w:val="center"/>
          </w:tcPr>
          <w:p w14:paraId="1E50E24A" w14:textId="77777777" w:rsidR="00B101F1" w:rsidRPr="00856DE7" w:rsidRDefault="00B101F1" w:rsidP="005F1A1C">
            <w:pPr>
              <w:jc w:val="left"/>
              <w:rPr>
                <w:rFonts w:cs="Arial"/>
                <w:szCs w:val="22"/>
              </w:rPr>
            </w:pPr>
          </w:p>
        </w:tc>
      </w:tr>
      <w:tr w:rsidR="00B101F1" w:rsidRPr="00856DE7" w14:paraId="0FC80F55" w14:textId="77777777" w:rsidTr="005F1A1C">
        <w:tc>
          <w:tcPr>
            <w:tcW w:w="2988" w:type="dxa"/>
            <w:shd w:val="clear" w:color="auto" w:fill="auto"/>
            <w:vAlign w:val="center"/>
          </w:tcPr>
          <w:p w14:paraId="1DFC64C0" w14:textId="47E77DBF" w:rsidR="00B101F1" w:rsidRPr="00856DE7" w:rsidRDefault="00B101F1" w:rsidP="005F1A1C">
            <w:pPr>
              <w:jc w:val="left"/>
              <w:rPr>
                <w:rFonts w:cs="Arial"/>
                <w:szCs w:val="22"/>
              </w:rPr>
            </w:pPr>
            <w:r>
              <w:rPr>
                <w:rFonts w:cs="Arial"/>
                <w:szCs w:val="22"/>
              </w:rPr>
              <w:t>Justine le Bon Bell</w:t>
            </w:r>
          </w:p>
        </w:tc>
        <w:tc>
          <w:tcPr>
            <w:tcW w:w="3240" w:type="dxa"/>
            <w:shd w:val="clear" w:color="auto" w:fill="auto"/>
            <w:vAlign w:val="center"/>
          </w:tcPr>
          <w:p w14:paraId="76B1DC5C" w14:textId="2901BF64" w:rsidR="00B101F1" w:rsidRPr="00856DE7" w:rsidRDefault="00B101F1" w:rsidP="005F1A1C">
            <w:pPr>
              <w:jc w:val="left"/>
              <w:rPr>
                <w:rFonts w:cs="Arial"/>
                <w:szCs w:val="22"/>
              </w:rPr>
            </w:pPr>
            <w:r>
              <w:rPr>
                <w:rFonts w:cs="Arial"/>
                <w:szCs w:val="22"/>
              </w:rPr>
              <w:t>Head of Education and Development</w:t>
            </w:r>
          </w:p>
        </w:tc>
        <w:tc>
          <w:tcPr>
            <w:tcW w:w="2628" w:type="dxa"/>
            <w:vMerge/>
            <w:shd w:val="clear" w:color="auto" w:fill="auto"/>
            <w:vAlign w:val="center"/>
          </w:tcPr>
          <w:p w14:paraId="205FA19F" w14:textId="77777777" w:rsidR="00B101F1" w:rsidRPr="00856DE7" w:rsidRDefault="00B101F1" w:rsidP="005F1A1C">
            <w:pPr>
              <w:jc w:val="left"/>
              <w:rPr>
                <w:rFonts w:cs="Arial"/>
                <w:szCs w:val="22"/>
              </w:rPr>
            </w:pPr>
          </w:p>
        </w:tc>
      </w:tr>
    </w:tbl>
    <w:p w14:paraId="34A6434D" w14:textId="77777777" w:rsidR="00796620" w:rsidRPr="00856DE7" w:rsidRDefault="00796620" w:rsidP="00796620">
      <w:pPr>
        <w:pStyle w:val="Heading1"/>
        <w:ind w:hanging="530"/>
      </w:pPr>
      <w:bookmarkStart w:id="15" w:name="_Toc200009612"/>
      <w:r w:rsidRPr="00856DE7">
        <w:t>EQUALITY IMPACT STATEMENT</w:t>
      </w:r>
      <w:bookmarkEnd w:id="15"/>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0F92A3C0"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w:t>
      </w:r>
      <w:r w:rsidR="00231FE0" w:rsidRPr="00856DE7">
        <w:t>manifested</w:t>
      </w:r>
      <w:r w:rsidRPr="00856DE7">
        <w:t xml:space="preserve">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lastRenderedPageBreak/>
        <w:t>Work as a team</w:t>
      </w:r>
    </w:p>
    <w:p w14:paraId="3AC25F43" w14:textId="3A80E603"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 xml:space="preserve">implemented with the </w:t>
      </w:r>
      <w:proofErr w:type="spellStart"/>
      <w:r w:rsidRPr="00502E62">
        <w:t>Organisational</w:t>
      </w:r>
      <w:proofErr w:type="spellEnd"/>
      <w:r w:rsidRPr="00502E62">
        <w:t xml:space="preserve"> Values in mind at all times</w:t>
      </w:r>
      <w:proofErr w:type="gramEnd"/>
      <w:r w:rsidRPr="00502E62">
        <w:t xml:space="preserve">.  See </w:t>
      </w:r>
      <w:r w:rsidR="000C6454" w:rsidRPr="00E71199">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footerReference w:type="first" r:id="rId16"/>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16" w:name="_Toc200009613"/>
      <w:r>
        <w:lastRenderedPageBreak/>
        <w:t xml:space="preserve">EQUALITY IMPACT </w:t>
      </w:r>
      <w:r w:rsidRPr="00DA3FE7">
        <w:t>SCREENING</w:t>
      </w:r>
      <w:r>
        <w:t xml:space="preserve"> TOOL</w:t>
      </w:r>
      <w:bookmarkEnd w:id="16"/>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00AE5034">
        <w:tc>
          <w:tcPr>
            <w:tcW w:w="10065" w:type="dxa"/>
            <w:gridSpan w:val="11"/>
            <w:shd w:val="clear" w:color="auto" w:fill="B6DDE8"/>
          </w:tcPr>
          <w:p w14:paraId="7B90CF12" w14:textId="77777777" w:rsidR="00796620" w:rsidRPr="00856DE7" w:rsidRDefault="00796620" w:rsidP="00AE5034">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348D20F0" w:rsidR="00796620" w:rsidRPr="00856DE7" w:rsidRDefault="00796620" w:rsidP="00AE5034">
            <w:pPr>
              <w:spacing w:after="120"/>
              <w:rPr>
                <w:rFonts w:cs="Arial"/>
              </w:rPr>
            </w:pPr>
            <w:bookmarkStart w:id="17" w:name="_Toc20232270"/>
            <w:r w:rsidRPr="00856DE7">
              <w:rPr>
                <w:rFonts w:cs="Arial"/>
              </w:rPr>
              <w:t>Title of Procedural Document:</w:t>
            </w:r>
            <w:bookmarkEnd w:id="17"/>
            <w:r w:rsidRPr="00856DE7">
              <w:rPr>
                <w:rFonts w:cs="Arial"/>
              </w:rPr>
              <w:t xml:space="preserve"> </w:t>
            </w:r>
            <w:r w:rsidR="00E71199" w:rsidRPr="00E71199">
              <w:rPr>
                <w:rFonts w:cs="Arial"/>
              </w:rPr>
              <w:t>Management of Staff with Infection or Exposure to Infection Policy</w:t>
            </w:r>
          </w:p>
        </w:tc>
      </w:tr>
      <w:tr w:rsidR="00796620" w:rsidRPr="00856DE7" w14:paraId="1B69AFED"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rsidP="00AE5034">
            <w:pPr>
              <w:spacing w:after="120"/>
              <w:rPr>
                <w:rFonts w:cs="Arial"/>
              </w:rPr>
            </w:pPr>
            <w:bookmarkStart w:id="18" w:name="_Toc20232271"/>
            <w:r w:rsidRPr="00856DE7">
              <w:rPr>
                <w:rFonts w:cs="Arial"/>
              </w:rPr>
              <w:t>Date of Assessment</w:t>
            </w:r>
            <w:bookmarkEnd w:id="18"/>
          </w:p>
        </w:tc>
        <w:tc>
          <w:tcPr>
            <w:tcW w:w="1873" w:type="dxa"/>
            <w:gridSpan w:val="2"/>
          </w:tcPr>
          <w:p w14:paraId="5BBFCD2D" w14:textId="05ABED9C" w:rsidR="00796620" w:rsidRPr="00856DE7" w:rsidRDefault="00E71199" w:rsidP="00AE5034">
            <w:pPr>
              <w:spacing w:after="120"/>
              <w:rPr>
                <w:rFonts w:cs="Arial"/>
              </w:rPr>
            </w:pPr>
            <w:r>
              <w:rPr>
                <w:rFonts w:cs="Arial"/>
              </w:rPr>
              <w:t>01/05/2025</w:t>
            </w:r>
          </w:p>
        </w:tc>
        <w:tc>
          <w:tcPr>
            <w:tcW w:w="2722" w:type="dxa"/>
            <w:gridSpan w:val="5"/>
          </w:tcPr>
          <w:p w14:paraId="682F124F" w14:textId="77777777" w:rsidR="00796620" w:rsidRPr="00856DE7" w:rsidRDefault="00796620" w:rsidP="00AE5034">
            <w:pPr>
              <w:spacing w:after="120"/>
              <w:rPr>
                <w:rFonts w:cs="Arial"/>
              </w:rPr>
            </w:pPr>
            <w:r w:rsidRPr="00856DE7">
              <w:rPr>
                <w:rFonts w:cs="Arial"/>
              </w:rPr>
              <w:t>Responsible Department</w:t>
            </w:r>
          </w:p>
        </w:tc>
        <w:tc>
          <w:tcPr>
            <w:tcW w:w="2776" w:type="dxa"/>
            <w:gridSpan w:val="2"/>
          </w:tcPr>
          <w:p w14:paraId="70DE4E2B" w14:textId="275B6525" w:rsidR="00796620" w:rsidRPr="00856DE7" w:rsidRDefault="00E71199" w:rsidP="00AE5034">
            <w:pPr>
              <w:spacing w:after="120"/>
              <w:rPr>
                <w:rFonts w:cs="Arial"/>
              </w:rPr>
            </w:pPr>
            <w:r>
              <w:rPr>
                <w:rFonts w:cs="Arial"/>
              </w:rPr>
              <w:t>Human Resources</w:t>
            </w:r>
          </w:p>
        </w:tc>
      </w:tr>
      <w:tr w:rsidR="00796620" w:rsidRPr="00856DE7" w14:paraId="1A058831"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rsidP="00AE5034">
            <w:pPr>
              <w:spacing w:after="120"/>
              <w:rPr>
                <w:rFonts w:cs="Arial"/>
              </w:rPr>
            </w:pPr>
            <w:r>
              <w:rPr>
                <w:rFonts w:cs="Arial"/>
              </w:rPr>
              <w:t>Completed by</w:t>
            </w:r>
          </w:p>
        </w:tc>
        <w:tc>
          <w:tcPr>
            <w:tcW w:w="2948" w:type="dxa"/>
            <w:gridSpan w:val="3"/>
          </w:tcPr>
          <w:p w14:paraId="4018456C" w14:textId="2A2E78EC" w:rsidR="00796620" w:rsidRPr="00856DE7" w:rsidRDefault="00FE293A" w:rsidP="00AE5034">
            <w:pPr>
              <w:spacing w:after="120"/>
              <w:rPr>
                <w:rFonts w:cs="Arial"/>
              </w:rPr>
            </w:pPr>
            <w:r>
              <w:rPr>
                <w:rFonts w:cs="Arial"/>
              </w:rPr>
              <w:t>Rachel Foster</w:t>
            </w:r>
          </w:p>
        </w:tc>
        <w:tc>
          <w:tcPr>
            <w:tcW w:w="1163" w:type="dxa"/>
            <w:gridSpan w:val="3"/>
          </w:tcPr>
          <w:p w14:paraId="7E2C0A09" w14:textId="77777777" w:rsidR="00796620" w:rsidRPr="00856DE7" w:rsidRDefault="00796620" w:rsidP="00AE5034">
            <w:pPr>
              <w:spacing w:after="120"/>
              <w:rPr>
                <w:rFonts w:cs="Arial"/>
              </w:rPr>
            </w:pPr>
            <w:r w:rsidRPr="00856DE7">
              <w:rPr>
                <w:rFonts w:cs="Arial"/>
              </w:rPr>
              <w:t>Job Title</w:t>
            </w:r>
          </w:p>
        </w:tc>
        <w:tc>
          <w:tcPr>
            <w:tcW w:w="4335" w:type="dxa"/>
            <w:gridSpan w:val="4"/>
          </w:tcPr>
          <w:p w14:paraId="7A89F83F" w14:textId="15CB563B" w:rsidR="00796620" w:rsidRPr="00856DE7" w:rsidRDefault="00FE293A" w:rsidP="00AE5034">
            <w:pPr>
              <w:spacing w:after="120"/>
              <w:rPr>
                <w:rFonts w:cs="Arial"/>
              </w:rPr>
            </w:pPr>
            <w:r w:rsidRPr="00FE293A">
              <w:rPr>
                <w:rFonts w:cs="Arial"/>
                <w:sz w:val="20"/>
                <w:szCs w:val="22"/>
              </w:rPr>
              <w:t>Quality &amp; Performance Development Nurse</w:t>
            </w:r>
          </w:p>
        </w:tc>
      </w:tr>
      <w:tr w:rsidR="00796620" w:rsidRPr="00856DE7" w14:paraId="6A42141D" w14:textId="77777777" w:rsidTr="00AE5034">
        <w:tc>
          <w:tcPr>
            <w:tcW w:w="10065" w:type="dxa"/>
            <w:gridSpan w:val="11"/>
            <w:shd w:val="clear" w:color="auto" w:fill="B6DDE8"/>
          </w:tcPr>
          <w:p w14:paraId="61468AA7" w14:textId="77777777" w:rsidR="00796620" w:rsidRPr="00856DE7" w:rsidRDefault="00796620" w:rsidP="00AE5034">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rsidP="00AE5034">
            <w:pPr>
              <w:spacing w:before="80" w:after="80"/>
              <w:ind w:left="361"/>
              <w:rPr>
                <w:rFonts w:cs="Arial"/>
              </w:rPr>
            </w:pPr>
          </w:p>
        </w:tc>
        <w:tc>
          <w:tcPr>
            <w:tcW w:w="1134" w:type="dxa"/>
            <w:gridSpan w:val="2"/>
            <w:vAlign w:val="center"/>
          </w:tcPr>
          <w:p w14:paraId="2323B341" w14:textId="77777777" w:rsidR="00796620" w:rsidRPr="00856DE7" w:rsidRDefault="00796620" w:rsidP="00AE5034">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AE5034">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35F9BC14" w:rsidR="00796620" w:rsidRPr="00856DE7" w:rsidRDefault="003E5C89" w:rsidP="00AE5034">
            <w:pPr>
              <w:spacing w:before="80" w:after="80"/>
              <w:rPr>
                <w:rFonts w:cs="Arial"/>
              </w:rPr>
            </w:pPr>
            <w:r>
              <w:rPr>
                <w:rFonts w:cs="Arial"/>
              </w:rPr>
              <w:t>No</w:t>
            </w:r>
          </w:p>
        </w:tc>
        <w:tc>
          <w:tcPr>
            <w:tcW w:w="3626" w:type="dxa"/>
            <w:gridSpan w:val="3"/>
          </w:tcPr>
          <w:p w14:paraId="6A843CFF" w14:textId="77777777" w:rsidR="00796620" w:rsidRPr="00856DE7" w:rsidRDefault="00796620" w:rsidP="00AE5034">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AE5034">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4AFB3BBF" w:rsidR="00796620" w:rsidRPr="00856DE7" w:rsidRDefault="003E5C89" w:rsidP="00AE5034">
            <w:pPr>
              <w:spacing w:before="80" w:after="80"/>
              <w:rPr>
                <w:rFonts w:cs="Arial"/>
              </w:rPr>
            </w:pPr>
            <w:r>
              <w:rPr>
                <w:rFonts w:cs="Arial"/>
              </w:rPr>
              <w:t>No</w:t>
            </w:r>
          </w:p>
        </w:tc>
        <w:tc>
          <w:tcPr>
            <w:tcW w:w="3626" w:type="dxa"/>
            <w:gridSpan w:val="3"/>
          </w:tcPr>
          <w:p w14:paraId="7ADAD7E5" w14:textId="77777777" w:rsidR="00796620" w:rsidRPr="00856DE7" w:rsidRDefault="00796620" w:rsidP="00AE5034">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08168DFA" w:rsidR="00796620" w:rsidRPr="00856DE7" w:rsidRDefault="00BF1668" w:rsidP="00AE5034">
            <w:pPr>
              <w:spacing w:before="80" w:after="80"/>
              <w:rPr>
                <w:rFonts w:cs="Arial"/>
              </w:rPr>
            </w:pPr>
            <w:r>
              <w:rPr>
                <w:rFonts w:cs="Arial"/>
              </w:rPr>
              <w:t>No</w:t>
            </w:r>
          </w:p>
        </w:tc>
        <w:tc>
          <w:tcPr>
            <w:tcW w:w="3626" w:type="dxa"/>
            <w:gridSpan w:val="3"/>
          </w:tcPr>
          <w:p w14:paraId="7C77D725" w14:textId="77777777" w:rsidR="00796620" w:rsidRPr="00856DE7" w:rsidRDefault="00796620" w:rsidP="00AE5034">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23CAF038" w:rsidR="00796620" w:rsidRPr="00856DE7" w:rsidRDefault="00BF1668" w:rsidP="00AE5034">
            <w:pPr>
              <w:spacing w:before="80" w:after="80"/>
              <w:rPr>
                <w:rFonts w:cs="Arial"/>
              </w:rPr>
            </w:pPr>
            <w:r>
              <w:rPr>
                <w:rFonts w:cs="Arial"/>
              </w:rPr>
              <w:t>No</w:t>
            </w:r>
          </w:p>
        </w:tc>
        <w:tc>
          <w:tcPr>
            <w:tcW w:w="3626" w:type="dxa"/>
            <w:gridSpan w:val="3"/>
          </w:tcPr>
          <w:p w14:paraId="684E8A77" w14:textId="77777777" w:rsidR="00796620" w:rsidRPr="00856DE7" w:rsidRDefault="00796620" w:rsidP="00AE5034">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14AB8816" w:rsidR="00796620" w:rsidRPr="00856DE7" w:rsidRDefault="00BF1668" w:rsidP="00AE5034">
            <w:pPr>
              <w:spacing w:before="80" w:after="80"/>
              <w:rPr>
                <w:rFonts w:cs="Arial"/>
              </w:rPr>
            </w:pPr>
            <w:r>
              <w:rPr>
                <w:rFonts w:cs="Arial"/>
              </w:rPr>
              <w:t>No</w:t>
            </w:r>
          </w:p>
        </w:tc>
        <w:tc>
          <w:tcPr>
            <w:tcW w:w="3626" w:type="dxa"/>
            <w:gridSpan w:val="3"/>
          </w:tcPr>
          <w:p w14:paraId="1C371269" w14:textId="77777777" w:rsidR="00796620" w:rsidRPr="00856DE7" w:rsidRDefault="00796620" w:rsidP="00AE5034">
            <w:pPr>
              <w:spacing w:before="80" w:after="80"/>
              <w:rPr>
                <w:rFonts w:cs="Arial"/>
              </w:rPr>
            </w:pP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29F76910" w:rsidR="00796620" w:rsidRPr="00856DE7" w:rsidRDefault="00BF1668" w:rsidP="00AE5034">
            <w:pPr>
              <w:spacing w:before="80" w:after="80"/>
              <w:rPr>
                <w:rFonts w:cs="Arial"/>
              </w:rPr>
            </w:pPr>
            <w:r>
              <w:rPr>
                <w:rFonts w:cs="Arial"/>
              </w:rPr>
              <w:t>No</w:t>
            </w:r>
          </w:p>
        </w:tc>
        <w:tc>
          <w:tcPr>
            <w:tcW w:w="3626" w:type="dxa"/>
            <w:gridSpan w:val="3"/>
          </w:tcPr>
          <w:p w14:paraId="32B6A679" w14:textId="77777777" w:rsidR="00796620" w:rsidRPr="00856DE7" w:rsidRDefault="00796620" w:rsidP="00AE5034">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0B6543F4" w:rsidR="00796620" w:rsidRPr="00856DE7" w:rsidRDefault="00BF1668" w:rsidP="00AE5034">
            <w:pPr>
              <w:spacing w:before="80" w:after="80"/>
              <w:rPr>
                <w:rFonts w:cs="Arial"/>
              </w:rPr>
            </w:pPr>
            <w:r>
              <w:rPr>
                <w:rFonts w:cs="Arial"/>
              </w:rPr>
              <w:t>No</w:t>
            </w:r>
          </w:p>
        </w:tc>
        <w:tc>
          <w:tcPr>
            <w:tcW w:w="3626" w:type="dxa"/>
            <w:gridSpan w:val="3"/>
          </w:tcPr>
          <w:p w14:paraId="6BF96E97" w14:textId="77777777" w:rsidR="00796620" w:rsidRPr="00856DE7" w:rsidRDefault="00796620" w:rsidP="00AE5034">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7E103F2E" w:rsidR="00796620" w:rsidRPr="00856DE7" w:rsidRDefault="00BF1668" w:rsidP="00AE5034">
            <w:pPr>
              <w:spacing w:before="80" w:after="80"/>
              <w:rPr>
                <w:rFonts w:cs="Arial"/>
              </w:rPr>
            </w:pPr>
            <w:r>
              <w:rPr>
                <w:rFonts w:cs="Arial"/>
              </w:rPr>
              <w:t>No</w:t>
            </w:r>
          </w:p>
        </w:tc>
        <w:tc>
          <w:tcPr>
            <w:tcW w:w="3626" w:type="dxa"/>
            <w:gridSpan w:val="3"/>
          </w:tcPr>
          <w:p w14:paraId="0D70673B" w14:textId="77777777" w:rsidR="00796620" w:rsidRPr="00856DE7" w:rsidRDefault="00796620" w:rsidP="00AE5034">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5D9AA3CB" w:rsidR="00796620" w:rsidRPr="00856DE7" w:rsidRDefault="00BF1668" w:rsidP="00AE5034">
            <w:pPr>
              <w:spacing w:before="80" w:after="80"/>
              <w:rPr>
                <w:rFonts w:cs="Arial"/>
              </w:rPr>
            </w:pPr>
            <w:r>
              <w:rPr>
                <w:rFonts w:cs="Arial"/>
              </w:rPr>
              <w:t>No</w:t>
            </w:r>
          </w:p>
        </w:tc>
        <w:tc>
          <w:tcPr>
            <w:tcW w:w="3626" w:type="dxa"/>
            <w:gridSpan w:val="3"/>
          </w:tcPr>
          <w:p w14:paraId="15DD3741" w14:textId="77777777" w:rsidR="00796620" w:rsidRPr="00856DE7" w:rsidRDefault="00796620" w:rsidP="00AE5034">
            <w:pPr>
              <w:spacing w:before="80" w:after="80"/>
              <w:rPr>
                <w:rFonts w:cs="Arial"/>
              </w:rPr>
            </w:pPr>
          </w:p>
        </w:tc>
      </w:tr>
      <w:tr w:rsidR="00796620" w:rsidRPr="00856DE7" w14:paraId="5AAF2CD6" w14:textId="77777777" w:rsidTr="00AE5034">
        <w:trPr>
          <w:trHeight w:val="782"/>
        </w:trPr>
        <w:tc>
          <w:tcPr>
            <w:tcW w:w="10065" w:type="dxa"/>
            <w:gridSpan w:val="11"/>
          </w:tcPr>
          <w:p w14:paraId="4FE33683" w14:textId="77777777" w:rsidR="00796620" w:rsidRPr="00856DE7" w:rsidRDefault="00796620" w:rsidP="00AE5034">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00AE5034">
        <w:tc>
          <w:tcPr>
            <w:tcW w:w="10065" w:type="dxa"/>
            <w:gridSpan w:val="11"/>
            <w:shd w:val="clear" w:color="auto" w:fill="B6DDE8"/>
          </w:tcPr>
          <w:p w14:paraId="0D57E124" w14:textId="77777777" w:rsidR="00796620" w:rsidRPr="00856DE7" w:rsidRDefault="00796620" w:rsidP="00AE5034">
            <w:pPr>
              <w:spacing w:before="80" w:after="80"/>
              <w:rPr>
                <w:rFonts w:cs="Arial"/>
                <w:b/>
                <w:bCs/>
              </w:rPr>
            </w:pPr>
            <w:r w:rsidRPr="00856DE7">
              <w:rPr>
                <w:rFonts w:cs="Arial"/>
                <w:b/>
                <w:bCs/>
              </w:rPr>
              <w:t>Stage 2 – Full Impact Assessment</w:t>
            </w:r>
          </w:p>
        </w:tc>
      </w:tr>
      <w:tr w:rsidR="00796620" w:rsidRPr="00856DE7" w14:paraId="0979E79D" w14:textId="77777777" w:rsidTr="00AE5034">
        <w:tc>
          <w:tcPr>
            <w:tcW w:w="3403" w:type="dxa"/>
            <w:gridSpan w:val="3"/>
            <w:shd w:val="clear" w:color="auto" w:fill="FFFFFF"/>
          </w:tcPr>
          <w:p w14:paraId="5B55CF44" w14:textId="77777777" w:rsidR="00796620" w:rsidRPr="00856DE7" w:rsidRDefault="00796620" w:rsidP="00AE5034">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rsidP="00AE5034">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rsidP="00AE5034">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AE5034">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14:paraId="1C4E78B8" w14:textId="77777777" w:rsidR="00796620" w:rsidRPr="00856DE7" w:rsidRDefault="00796620" w:rsidP="00AE5034">
            <w:pPr>
              <w:spacing w:before="80" w:after="80"/>
              <w:ind w:left="34"/>
              <w:jc w:val="center"/>
              <w:rPr>
                <w:rFonts w:cs="Arial"/>
                <w:b/>
                <w:bCs/>
              </w:rPr>
            </w:pPr>
            <w:r w:rsidRPr="00856DE7">
              <w:rPr>
                <w:rFonts w:cs="Arial"/>
                <w:b/>
                <w:bCs/>
              </w:rPr>
              <w:t>Responsible Officer</w:t>
            </w:r>
          </w:p>
        </w:tc>
      </w:tr>
      <w:tr w:rsidR="00796620" w:rsidRPr="00856DE7" w14:paraId="63227A98" w14:textId="77777777" w:rsidTr="00AE5034">
        <w:tc>
          <w:tcPr>
            <w:tcW w:w="3403" w:type="dxa"/>
            <w:gridSpan w:val="3"/>
          </w:tcPr>
          <w:p w14:paraId="69CB7C58" w14:textId="13BC4300" w:rsidR="00796620" w:rsidRPr="00856DE7" w:rsidRDefault="00796620" w:rsidP="00AE5034">
            <w:pPr>
              <w:spacing w:before="80" w:after="80"/>
              <w:rPr>
                <w:rFonts w:cs="Arial"/>
              </w:rPr>
            </w:pPr>
          </w:p>
        </w:tc>
        <w:tc>
          <w:tcPr>
            <w:tcW w:w="1276" w:type="dxa"/>
            <w:gridSpan w:val="2"/>
          </w:tcPr>
          <w:p w14:paraId="3E6E1F66" w14:textId="77777777" w:rsidR="00796620" w:rsidRPr="00856DE7" w:rsidRDefault="00796620" w:rsidP="00AE5034">
            <w:pPr>
              <w:spacing w:before="80" w:after="80"/>
              <w:ind w:left="34"/>
              <w:rPr>
                <w:rFonts w:cs="Arial"/>
              </w:rPr>
            </w:pPr>
          </w:p>
        </w:tc>
        <w:tc>
          <w:tcPr>
            <w:tcW w:w="3260" w:type="dxa"/>
            <w:gridSpan w:val="5"/>
          </w:tcPr>
          <w:p w14:paraId="21B76752" w14:textId="77777777" w:rsidR="00796620" w:rsidRPr="00856DE7" w:rsidRDefault="00796620" w:rsidP="00AE5034">
            <w:pPr>
              <w:spacing w:before="80" w:after="80"/>
              <w:ind w:left="33"/>
              <w:rPr>
                <w:rFonts w:cs="Arial"/>
              </w:rPr>
            </w:pPr>
          </w:p>
        </w:tc>
        <w:tc>
          <w:tcPr>
            <w:tcW w:w="2126" w:type="dxa"/>
          </w:tcPr>
          <w:p w14:paraId="14037169" w14:textId="77777777" w:rsidR="00796620" w:rsidRPr="00856DE7" w:rsidRDefault="00796620" w:rsidP="00AE5034">
            <w:pPr>
              <w:spacing w:before="80" w:after="80"/>
              <w:ind w:left="34" w:hanging="533"/>
              <w:rPr>
                <w:rFonts w:cs="Arial"/>
              </w:rPr>
            </w:pPr>
          </w:p>
        </w:tc>
      </w:tr>
      <w:tr w:rsidR="00796620" w:rsidRPr="00856DE7" w14:paraId="161D9DAB" w14:textId="77777777" w:rsidTr="00AE5034">
        <w:tc>
          <w:tcPr>
            <w:tcW w:w="10065" w:type="dxa"/>
            <w:gridSpan w:val="11"/>
            <w:shd w:val="clear" w:color="auto" w:fill="B6DDE8"/>
          </w:tcPr>
          <w:p w14:paraId="3CC614ED" w14:textId="77777777" w:rsidR="00796620" w:rsidRPr="00856DE7" w:rsidRDefault="00796620" w:rsidP="00AE5034">
            <w:pPr>
              <w:spacing w:before="80" w:after="80"/>
              <w:rPr>
                <w:rFonts w:cs="Arial"/>
                <w:b/>
              </w:rPr>
            </w:pPr>
            <w:r w:rsidRPr="00856DE7">
              <w:rPr>
                <w:rFonts w:cs="Arial"/>
                <w:b/>
              </w:rPr>
              <w:t>Monitoring of Actions</w:t>
            </w:r>
          </w:p>
        </w:tc>
      </w:tr>
      <w:tr w:rsidR="00796620" w:rsidRPr="00856DE7" w14:paraId="681709BA" w14:textId="77777777" w:rsidTr="00AE5034">
        <w:tc>
          <w:tcPr>
            <w:tcW w:w="10065" w:type="dxa"/>
            <w:gridSpan w:val="11"/>
          </w:tcPr>
          <w:p w14:paraId="08094E8C" w14:textId="46CACEA3" w:rsidR="00796620" w:rsidRPr="00856DE7" w:rsidRDefault="00796620" w:rsidP="00BF1668">
            <w:pPr>
              <w:spacing w:before="80" w:after="80"/>
              <w:rPr>
                <w:rFonts w:cs="Arial"/>
              </w:rPr>
            </w:pPr>
            <w:r w:rsidRPr="00856DE7">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19" w:name="_Toc200009614"/>
      <w:r w:rsidRPr="00856DE7">
        <w:lastRenderedPageBreak/>
        <w:t>IMPLEMENTATION PLAN</w:t>
      </w:r>
      <w:bookmarkEnd w:id="19"/>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746A5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BF1668">
        <w:tc>
          <w:tcPr>
            <w:tcW w:w="2952" w:type="dxa"/>
            <w:shd w:val="clear" w:color="auto" w:fill="auto"/>
            <w:vAlign w:val="center"/>
          </w:tcPr>
          <w:p w14:paraId="17EB7C3F" w14:textId="77777777" w:rsidR="00A33A94" w:rsidRPr="00A33A94" w:rsidRDefault="00A33A94" w:rsidP="00BF1668">
            <w:pPr>
              <w:spacing w:before="60" w:after="60"/>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BF1668">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BF1668">
            <w:pPr>
              <w:spacing w:before="60" w:after="60"/>
              <w:jc w:val="left"/>
              <w:rPr>
                <w:rFonts w:cs="Arial"/>
              </w:rPr>
            </w:pPr>
            <w:r w:rsidRPr="00856DE7">
              <w:rPr>
                <w:rFonts w:cs="Arial"/>
              </w:rPr>
              <w:t>Within 2 weeks following ratification</w:t>
            </w:r>
          </w:p>
        </w:tc>
      </w:tr>
      <w:tr w:rsidR="00A33A94" w:rsidRPr="00856DE7" w14:paraId="08EB0C8B" w14:textId="77777777" w:rsidTr="00BF1668">
        <w:tc>
          <w:tcPr>
            <w:tcW w:w="2952" w:type="dxa"/>
            <w:shd w:val="clear" w:color="auto" w:fill="auto"/>
            <w:vAlign w:val="center"/>
          </w:tcPr>
          <w:p w14:paraId="5E921F21" w14:textId="77777777" w:rsidR="00A33A94" w:rsidRPr="00A33A94" w:rsidRDefault="00A33A94" w:rsidP="00BF1668">
            <w:pPr>
              <w:spacing w:before="60" w:after="60"/>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BF1668">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BF1668">
            <w:pPr>
              <w:spacing w:before="60" w:after="60"/>
              <w:jc w:val="left"/>
              <w:rPr>
                <w:rFonts w:cs="Arial"/>
              </w:rPr>
            </w:pPr>
            <w:r w:rsidRPr="00856DE7">
              <w:rPr>
                <w:rFonts w:cs="Arial"/>
              </w:rPr>
              <w:t>Within 2 weeks following ratification</w:t>
            </w:r>
          </w:p>
        </w:tc>
      </w:tr>
      <w:tr w:rsidR="00502E62" w:rsidRPr="00856DE7" w14:paraId="3FB9A0DE" w14:textId="77777777" w:rsidTr="00BF1668">
        <w:tc>
          <w:tcPr>
            <w:tcW w:w="2952" w:type="dxa"/>
            <w:shd w:val="clear" w:color="auto" w:fill="auto"/>
            <w:vAlign w:val="center"/>
          </w:tcPr>
          <w:p w14:paraId="3C4CE76B" w14:textId="77777777" w:rsidR="00502E62" w:rsidRPr="00A33A94" w:rsidRDefault="00502E62" w:rsidP="00BF1668">
            <w:pPr>
              <w:spacing w:before="60" w:after="60"/>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BF1668">
            <w:pPr>
              <w:spacing w:before="60" w:after="60"/>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BF1668">
            <w:pPr>
              <w:spacing w:before="60" w:after="60"/>
              <w:jc w:val="left"/>
              <w:rPr>
                <w:rFonts w:cs="Arial"/>
              </w:rPr>
            </w:pPr>
            <w:r w:rsidRPr="00856DE7">
              <w:rPr>
                <w:rFonts w:cs="Arial"/>
              </w:rPr>
              <w:t>Within 2 weeks following ratification</w:t>
            </w:r>
          </w:p>
        </w:tc>
      </w:tr>
      <w:tr w:rsidR="00201CA3" w:rsidRPr="00856DE7" w14:paraId="678AA1A9" w14:textId="77777777" w:rsidTr="00BF1668">
        <w:tc>
          <w:tcPr>
            <w:tcW w:w="2952" w:type="dxa"/>
            <w:shd w:val="clear" w:color="auto" w:fill="auto"/>
            <w:vAlign w:val="center"/>
          </w:tcPr>
          <w:p w14:paraId="4F5D2ED4" w14:textId="77777777" w:rsidR="00201CA3" w:rsidRPr="00A33A94" w:rsidRDefault="00A33A94" w:rsidP="00BF1668">
            <w:pPr>
              <w:spacing w:before="60" w:after="60"/>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BF1668">
            <w:pPr>
              <w:spacing w:before="60" w:after="60"/>
              <w:jc w:val="left"/>
              <w:rPr>
                <w:rFonts w:cs="Arial"/>
                <w:szCs w:val="22"/>
              </w:rPr>
            </w:pPr>
            <w:r w:rsidRPr="00A33A94">
              <w:rPr>
                <w:rFonts w:cs="Arial"/>
                <w:szCs w:val="22"/>
              </w:rPr>
              <w:t>All staff notified via Virtual College.</w:t>
            </w:r>
          </w:p>
        </w:tc>
        <w:tc>
          <w:tcPr>
            <w:tcW w:w="2952" w:type="dxa"/>
            <w:shd w:val="clear" w:color="auto" w:fill="auto"/>
            <w:vAlign w:val="center"/>
          </w:tcPr>
          <w:p w14:paraId="05F372E0" w14:textId="3FEB4DBE" w:rsidR="00201CA3" w:rsidRPr="00856DE7" w:rsidRDefault="00A33A94" w:rsidP="00BF1668">
            <w:pPr>
              <w:spacing w:before="60" w:after="60"/>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0" w:name="_Toc200009615"/>
      <w:r w:rsidRPr="00856DE7">
        <w:t>GLOSSARY OF TERMS</w:t>
      </w:r>
      <w:bookmarkEnd w:id="20"/>
    </w:p>
    <w:p w14:paraId="681000E3" w14:textId="66ACC8B2" w:rsidR="00993A8D" w:rsidRPr="00993A8D" w:rsidRDefault="00993A8D" w:rsidP="00993A8D">
      <w:pPr>
        <w:rPr>
          <w:rFonts w:cs="Arial"/>
          <w:iCs/>
        </w:rPr>
      </w:pPr>
      <w:r w:rsidRPr="00993A8D">
        <w:rPr>
          <w:rFonts w:cs="Arial"/>
          <w:b/>
          <w:bCs/>
          <w:iCs/>
        </w:rPr>
        <w:t>Clinically well</w:t>
      </w:r>
      <w:r>
        <w:rPr>
          <w:rFonts w:cs="Arial"/>
          <w:b/>
          <w:bCs/>
          <w:iCs/>
        </w:rPr>
        <w:t xml:space="preserve"> - </w:t>
      </w:r>
      <w:r w:rsidRPr="00993A8D">
        <w:rPr>
          <w:rFonts w:cs="Arial"/>
          <w:iCs/>
        </w:rPr>
        <w:t>No longer exhibiting signs or symptoms of active infection and deemed fit to work.</w:t>
      </w:r>
    </w:p>
    <w:p w14:paraId="48FEE02D" w14:textId="5476D8BA" w:rsidR="00993A8D" w:rsidRPr="00993A8D" w:rsidRDefault="00993A8D" w:rsidP="00993A8D">
      <w:pPr>
        <w:rPr>
          <w:rFonts w:cs="Arial"/>
          <w:iCs/>
        </w:rPr>
      </w:pPr>
      <w:r w:rsidRPr="00993A8D">
        <w:rPr>
          <w:rFonts w:cs="Arial"/>
          <w:b/>
          <w:bCs/>
          <w:iCs/>
        </w:rPr>
        <w:t>Communicable infection</w:t>
      </w:r>
      <w:r>
        <w:rPr>
          <w:rFonts w:cs="Arial"/>
          <w:b/>
          <w:bCs/>
          <w:iCs/>
        </w:rPr>
        <w:t xml:space="preserve"> - </w:t>
      </w:r>
      <w:r w:rsidRPr="00993A8D">
        <w:rPr>
          <w:rFonts w:cs="Arial"/>
          <w:iCs/>
        </w:rPr>
        <w:t>An infection that can be transmitted from one person to another.</w:t>
      </w:r>
    </w:p>
    <w:p w14:paraId="74EB04C6" w14:textId="36555CD9" w:rsidR="00993A8D" w:rsidRPr="00993A8D" w:rsidRDefault="00993A8D" w:rsidP="00993A8D">
      <w:pPr>
        <w:rPr>
          <w:rFonts w:cs="Arial"/>
          <w:iCs/>
        </w:rPr>
      </w:pPr>
      <w:r w:rsidRPr="00993A8D">
        <w:rPr>
          <w:rFonts w:cs="Arial"/>
          <w:b/>
          <w:bCs/>
          <w:iCs/>
        </w:rPr>
        <w:t>Equality Act 2010</w:t>
      </w:r>
      <w:r w:rsidR="00675CA0">
        <w:rPr>
          <w:rFonts w:cs="Arial"/>
          <w:iCs/>
        </w:rPr>
        <w:t xml:space="preserve"> - </w:t>
      </w:r>
      <w:r w:rsidRPr="00993A8D">
        <w:rPr>
          <w:rFonts w:cs="Arial"/>
          <w:iCs/>
        </w:rPr>
        <w:t>UK legislation that protects individuals from unfair treatment and promotes a fair and more equal society.</w:t>
      </w:r>
    </w:p>
    <w:p w14:paraId="77230561" w14:textId="05A8CF5C" w:rsidR="00993A8D" w:rsidRPr="00993A8D" w:rsidRDefault="00993A8D" w:rsidP="00993A8D">
      <w:pPr>
        <w:rPr>
          <w:rFonts w:cs="Arial"/>
          <w:iCs/>
        </w:rPr>
      </w:pPr>
      <w:r w:rsidRPr="00675CA0">
        <w:rPr>
          <w:rFonts w:cs="Arial"/>
          <w:b/>
          <w:bCs/>
          <w:iCs/>
        </w:rPr>
        <w:t>Exposure prone procedures (EPPs)</w:t>
      </w:r>
      <w:r w:rsidR="00675CA0">
        <w:rPr>
          <w:rFonts w:cs="Arial"/>
          <w:iCs/>
        </w:rPr>
        <w:t xml:space="preserve"> - </w:t>
      </w:r>
      <w:r w:rsidRPr="00993A8D">
        <w:rPr>
          <w:rFonts w:cs="Arial"/>
          <w:iCs/>
        </w:rPr>
        <w:t>Invasive procedures where there is a risk of injury to the healthcare worker, which could result in the exposure of the patient’s open tissues to the blood of the healthcare worker.</w:t>
      </w:r>
    </w:p>
    <w:p w14:paraId="15925858" w14:textId="5835E269" w:rsidR="00993A8D" w:rsidRPr="00993A8D" w:rsidRDefault="00993A8D" w:rsidP="00993A8D">
      <w:pPr>
        <w:rPr>
          <w:rFonts w:cs="Arial"/>
          <w:iCs/>
        </w:rPr>
      </w:pPr>
      <w:r w:rsidRPr="00675CA0">
        <w:rPr>
          <w:rFonts w:cs="Arial"/>
          <w:b/>
          <w:bCs/>
          <w:iCs/>
        </w:rPr>
        <w:t>Healthcare-associated infection (HCAI)</w:t>
      </w:r>
      <w:r w:rsidR="00675CA0">
        <w:rPr>
          <w:rFonts w:cs="Arial"/>
          <w:b/>
          <w:bCs/>
          <w:iCs/>
        </w:rPr>
        <w:t xml:space="preserve"> </w:t>
      </w:r>
      <w:r w:rsidR="00F44756">
        <w:rPr>
          <w:rFonts w:cs="Arial"/>
          <w:b/>
          <w:bCs/>
          <w:iCs/>
        </w:rPr>
        <w:t xml:space="preserve">- </w:t>
      </w:r>
      <w:r w:rsidR="00F44756" w:rsidRPr="00993A8D">
        <w:rPr>
          <w:rFonts w:cs="Arial"/>
          <w:iCs/>
        </w:rPr>
        <w:t>Infections</w:t>
      </w:r>
      <w:r w:rsidRPr="00993A8D">
        <w:rPr>
          <w:rFonts w:cs="Arial"/>
          <w:iCs/>
        </w:rPr>
        <w:t xml:space="preserve"> acquired </w:t>
      </w:r>
      <w:proofErr w:type="gramStart"/>
      <w:r w:rsidRPr="00993A8D">
        <w:rPr>
          <w:rFonts w:cs="Arial"/>
          <w:iCs/>
        </w:rPr>
        <w:t>as a result of</w:t>
      </w:r>
      <w:proofErr w:type="gramEnd"/>
      <w:r w:rsidRPr="00993A8D">
        <w:rPr>
          <w:rFonts w:cs="Arial"/>
          <w:iCs/>
        </w:rPr>
        <w:t xml:space="preserve"> healthcare interventions or through contact with the healthcare environment.</w:t>
      </w:r>
    </w:p>
    <w:p w14:paraId="2A53F66C" w14:textId="09520A47" w:rsidR="00993A8D" w:rsidRPr="00993A8D" w:rsidRDefault="00993A8D" w:rsidP="00993A8D">
      <w:pPr>
        <w:rPr>
          <w:rFonts w:cs="Arial"/>
          <w:iCs/>
        </w:rPr>
      </w:pPr>
      <w:r w:rsidRPr="00675CA0">
        <w:rPr>
          <w:rFonts w:cs="Arial"/>
          <w:b/>
          <w:bCs/>
          <w:iCs/>
        </w:rPr>
        <w:t>Infection Prevention and Control (</w:t>
      </w:r>
      <w:proofErr w:type="spellStart"/>
      <w:r w:rsidRPr="00675CA0">
        <w:rPr>
          <w:rFonts w:cs="Arial"/>
          <w:b/>
          <w:bCs/>
          <w:iCs/>
        </w:rPr>
        <w:t>IPaC</w:t>
      </w:r>
      <w:proofErr w:type="spellEnd"/>
      <w:r w:rsidRPr="00675CA0">
        <w:rPr>
          <w:rFonts w:cs="Arial"/>
          <w:b/>
          <w:bCs/>
          <w:iCs/>
        </w:rPr>
        <w:t>)</w:t>
      </w:r>
      <w:r w:rsidR="00675CA0">
        <w:rPr>
          <w:rFonts w:cs="Arial"/>
          <w:iCs/>
        </w:rPr>
        <w:t xml:space="preserve"> </w:t>
      </w:r>
      <w:r w:rsidR="00F44756">
        <w:rPr>
          <w:rFonts w:cs="Arial"/>
          <w:iCs/>
        </w:rPr>
        <w:t xml:space="preserve">- </w:t>
      </w:r>
      <w:r w:rsidR="00F44756" w:rsidRPr="00993A8D">
        <w:rPr>
          <w:rFonts w:cs="Arial"/>
          <w:iCs/>
        </w:rPr>
        <w:t>The</w:t>
      </w:r>
      <w:r w:rsidRPr="00993A8D">
        <w:rPr>
          <w:rFonts w:cs="Arial"/>
          <w:iCs/>
        </w:rPr>
        <w:t xml:space="preserve"> discipline concerned with preventing and controlling infections in healthcare settings.</w:t>
      </w:r>
    </w:p>
    <w:p w14:paraId="72214787" w14:textId="5D8D092E" w:rsidR="00993A8D" w:rsidRPr="00993A8D" w:rsidRDefault="00993A8D" w:rsidP="00993A8D">
      <w:pPr>
        <w:rPr>
          <w:rFonts w:cs="Arial"/>
          <w:iCs/>
        </w:rPr>
      </w:pPr>
      <w:r w:rsidRPr="00F44756">
        <w:rPr>
          <w:rFonts w:cs="Arial"/>
          <w:b/>
          <w:bCs/>
          <w:iCs/>
        </w:rPr>
        <w:t>Occupational Health</w:t>
      </w:r>
      <w:r w:rsidR="00675CA0">
        <w:rPr>
          <w:rFonts w:cs="Arial"/>
          <w:iCs/>
        </w:rPr>
        <w:t xml:space="preserve"> -</w:t>
      </w:r>
      <w:r w:rsidR="00F44756">
        <w:rPr>
          <w:rFonts w:cs="Arial"/>
          <w:iCs/>
        </w:rPr>
        <w:t xml:space="preserve"> </w:t>
      </w:r>
      <w:r w:rsidRPr="00993A8D">
        <w:rPr>
          <w:rFonts w:cs="Arial"/>
          <w:iCs/>
        </w:rPr>
        <w:t>A specialist service providing advice and support on health-related issues affecting staff at work.</w:t>
      </w:r>
    </w:p>
    <w:p w14:paraId="01C1EC06" w14:textId="6941D74D" w:rsidR="00993A8D" w:rsidRPr="00993A8D" w:rsidRDefault="00993A8D" w:rsidP="00993A8D">
      <w:pPr>
        <w:rPr>
          <w:rFonts w:cs="Arial"/>
          <w:iCs/>
        </w:rPr>
      </w:pPr>
      <w:r w:rsidRPr="00F44756">
        <w:rPr>
          <w:rFonts w:cs="Arial"/>
          <w:b/>
          <w:bCs/>
          <w:iCs/>
        </w:rPr>
        <w:t>Risk assessment</w:t>
      </w:r>
      <w:r w:rsidR="00F44756">
        <w:rPr>
          <w:rFonts w:cs="Arial"/>
          <w:iCs/>
        </w:rPr>
        <w:t xml:space="preserve"> - </w:t>
      </w:r>
      <w:r w:rsidRPr="00993A8D">
        <w:rPr>
          <w:rFonts w:cs="Arial"/>
          <w:iCs/>
        </w:rPr>
        <w:t>A systematic process of evaluating potential risks that may be involved in a projected activity or undertaking.</w:t>
      </w:r>
    </w:p>
    <w:p w14:paraId="07885DE7" w14:textId="31779BD2" w:rsidR="00993A8D" w:rsidRPr="00993A8D" w:rsidRDefault="00993A8D" w:rsidP="00993A8D">
      <w:pPr>
        <w:rPr>
          <w:rFonts w:cs="Arial"/>
          <w:iCs/>
        </w:rPr>
      </w:pPr>
      <w:r w:rsidRPr="00F44756">
        <w:rPr>
          <w:rFonts w:cs="Arial"/>
          <w:b/>
          <w:bCs/>
          <w:iCs/>
        </w:rPr>
        <w:t>UK Health Security Agency (UKHSA)</w:t>
      </w:r>
      <w:r w:rsidR="00F44756">
        <w:rPr>
          <w:rFonts w:cs="Arial"/>
          <w:iCs/>
        </w:rPr>
        <w:t xml:space="preserve"> - </w:t>
      </w:r>
      <w:r w:rsidRPr="00993A8D">
        <w:rPr>
          <w:rFonts w:cs="Arial"/>
          <w:iCs/>
        </w:rPr>
        <w:t>The UK government agency responsible for public health protection and infectious disease control.</w:t>
      </w:r>
    </w:p>
    <w:p w14:paraId="2C5C7DA0" w14:textId="77777777" w:rsidR="001544CB" w:rsidRDefault="00993A8D" w:rsidP="001544CB">
      <w:pPr>
        <w:rPr>
          <w:rFonts w:cs="Arial"/>
          <w:iCs/>
        </w:rPr>
      </w:pPr>
      <w:r w:rsidRPr="00F44756">
        <w:rPr>
          <w:rFonts w:cs="Arial"/>
          <w:b/>
          <w:bCs/>
          <w:iCs/>
        </w:rPr>
        <w:lastRenderedPageBreak/>
        <w:t>Vulnerable staff</w:t>
      </w:r>
      <w:r w:rsidR="00F44756">
        <w:rPr>
          <w:rFonts w:cs="Arial"/>
          <w:iCs/>
        </w:rPr>
        <w:t xml:space="preserve"> - </w:t>
      </w:r>
      <w:r w:rsidRPr="00993A8D">
        <w:rPr>
          <w:rFonts w:cs="Arial"/>
          <w:iCs/>
        </w:rPr>
        <w:t>Employees who, due to medical conditions or treatments, are at higher risk of serious illness from infections.</w:t>
      </w:r>
    </w:p>
    <w:p w14:paraId="6EF278DA" w14:textId="77777777" w:rsidR="00D6168A" w:rsidRDefault="00D6168A" w:rsidP="001544CB">
      <w:pPr>
        <w:rPr>
          <w:rFonts w:cs="Arial"/>
          <w:iCs/>
        </w:rPr>
        <w:sectPr w:rsidR="00D6168A" w:rsidSect="00856DE7">
          <w:pgSz w:w="11906" w:h="16838"/>
          <w:pgMar w:top="1440" w:right="1440" w:bottom="1440" w:left="1440" w:header="708" w:footer="220" w:gutter="0"/>
          <w:cols w:space="708"/>
          <w:titlePg/>
          <w:docGrid w:linePitch="360"/>
        </w:sectPr>
      </w:pPr>
    </w:p>
    <w:p w14:paraId="7FB98EFA" w14:textId="734C29B4" w:rsidR="007B2215" w:rsidRPr="00856DE7" w:rsidRDefault="00F97AD3" w:rsidP="001544CB">
      <w:pPr>
        <w:pStyle w:val="Heading1"/>
      </w:pPr>
      <w:bookmarkStart w:id="21" w:name="_Toc200009616"/>
      <w:r w:rsidRPr="00856DE7">
        <w:lastRenderedPageBreak/>
        <w:t>REFERENCES</w:t>
      </w:r>
      <w:bookmarkEnd w:id="21"/>
    </w:p>
    <w:p w14:paraId="6459BB15" w14:textId="77777777" w:rsidR="00DA3FE7" w:rsidRDefault="00DA3FE7" w:rsidP="007B2215">
      <w:pPr>
        <w:pStyle w:val="ListParagraph"/>
        <w:tabs>
          <w:tab w:val="left" w:pos="284"/>
        </w:tabs>
        <w:ind w:left="-66"/>
        <w:rPr>
          <w:rFonts w:cs="Arial"/>
          <w:b/>
        </w:rPr>
      </w:pPr>
    </w:p>
    <w:p w14:paraId="0DFA8EF4" w14:textId="77777777" w:rsidR="00205803" w:rsidRDefault="00205803" w:rsidP="00E86571">
      <w:r>
        <w:t>Equality Act 2010. (2010). c.15. London: The Stationery Office.</w:t>
      </w:r>
    </w:p>
    <w:p w14:paraId="531F77B5" w14:textId="77777777" w:rsidR="008C1AE9" w:rsidRDefault="008C1AE9" w:rsidP="003B5314"/>
    <w:p w14:paraId="604AD3AC" w14:textId="0977C724" w:rsidR="00205803" w:rsidRPr="003B5314" w:rsidRDefault="00205803" w:rsidP="003B5314">
      <w:pPr>
        <w:rPr>
          <w:rFonts w:cs="Arial"/>
          <w:b/>
        </w:rPr>
      </w:pPr>
      <w:r w:rsidRPr="001C72EF">
        <w:t xml:space="preserve">Government of Jersey. (2025) Employment and Health and Safety Guidance. Available at: </w:t>
      </w:r>
      <w:hyperlink r:id="rId17" w:anchor=":~:text=Health" w:history="1">
        <w:r w:rsidRPr="00896E0B">
          <w:rPr>
            <w:rStyle w:val="Hyperlink"/>
          </w:rPr>
          <w:t>https://www.gov.je/Industry/HealthSafetyWork/HSI/Legislation/General/pages/healthsafetygeneralguide.aspx#:~:text=Health</w:t>
        </w:r>
      </w:hyperlink>
      <w:r>
        <w:t xml:space="preserve"> </w:t>
      </w:r>
      <w:r w:rsidRPr="00F50FD9">
        <w:t xml:space="preserve"> </w:t>
      </w:r>
      <w:r>
        <w:t xml:space="preserve"> </w:t>
      </w:r>
      <w:r w:rsidRPr="001C72EF">
        <w:t>(Accessed: 28 April 2025)</w:t>
      </w:r>
    </w:p>
    <w:p w14:paraId="32E8D1F5" w14:textId="77777777" w:rsidR="008C1AE9" w:rsidRDefault="008C1AE9" w:rsidP="00E86571"/>
    <w:p w14:paraId="31A74DB2" w14:textId="79404D77" w:rsidR="00205803" w:rsidRDefault="00205803" w:rsidP="00E86571">
      <w:r>
        <w:t>Health and Safety at Work etc. Act 1974. (1974) c.37. London: The Stationery Office.</w:t>
      </w:r>
    </w:p>
    <w:p w14:paraId="7A5C61D4" w14:textId="77777777" w:rsidR="00205803" w:rsidRDefault="00205803" w:rsidP="00E86571">
      <w:r>
        <w:t>Management of Health and Safety at Work Regulations 1999. (1999). SI 1999/3242. London: The Stationery Office.</w:t>
      </w:r>
    </w:p>
    <w:p w14:paraId="1DCAC5A2" w14:textId="77777777" w:rsidR="008C1AE9" w:rsidRDefault="008C1AE9" w:rsidP="00E86571"/>
    <w:p w14:paraId="4521FCC0" w14:textId="28CB6412" w:rsidR="00205803" w:rsidRDefault="00205803" w:rsidP="00E86571">
      <w:r w:rsidRPr="00213426">
        <w:t>National Institute for Health and Care Excellence (NICE). (20</w:t>
      </w:r>
      <w:r>
        <w:t>17</w:t>
      </w:r>
      <w:r w:rsidRPr="00213426">
        <w:t xml:space="preserve">) </w:t>
      </w:r>
      <w:r>
        <w:t>CG139</w:t>
      </w:r>
      <w:r w:rsidRPr="00213426">
        <w:t xml:space="preserve">: Healthcare-associated infections: prevention and control in primary and community care. London: NICE. Available at: </w:t>
      </w:r>
      <w:hyperlink r:id="rId18" w:history="1">
        <w:r w:rsidRPr="00896E0B">
          <w:rPr>
            <w:rStyle w:val="Hyperlink"/>
          </w:rPr>
          <w:t>https://www.nice.org.uk/guidance/cg139</w:t>
        </w:r>
      </w:hyperlink>
      <w:proofErr w:type="gramStart"/>
      <w:r>
        <w:t xml:space="preserve">  </w:t>
      </w:r>
      <w:r w:rsidRPr="00213426">
        <w:t xml:space="preserve"> (</w:t>
      </w:r>
      <w:proofErr w:type="gramEnd"/>
      <w:r w:rsidRPr="00213426">
        <w:t>Accessed: 1 May 2025).</w:t>
      </w:r>
    </w:p>
    <w:p w14:paraId="06F3AB12" w14:textId="77777777" w:rsidR="008C1AE9" w:rsidRDefault="008C1AE9" w:rsidP="00031881"/>
    <w:p w14:paraId="43EA199B" w14:textId="070C8915" w:rsidR="00205803" w:rsidRDefault="00205803" w:rsidP="00031881">
      <w:r>
        <w:t xml:space="preserve">NHS England. (2024) National Infection Prevention and Control Manual (NIPCM). Available at: </w:t>
      </w:r>
      <w:hyperlink r:id="rId19" w:history="1">
        <w:r w:rsidRPr="00896E0B">
          <w:rPr>
            <w:rStyle w:val="Hyperlink"/>
          </w:rPr>
          <w:t>https://www.england.nhs.uk/publication/national-infection-prevention-and-control-manual/</w:t>
        </w:r>
      </w:hyperlink>
      <w:r>
        <w:t xml:space="preserve">  (Accessed: 28 April 2025).</w:t>
      </w:r>
    </w:p>
    <w:p w14:paraId="29902E29" w14:textId="77777777" w:rsidR="008C1AE9" w:rsidRDefault="008C1AE9" w:rsidP="00031881"/>
    <w:p w14:paraId="06E53092" w14:textId="4CF68D1B" w:rsidR="00205803" w:rsidRDefault="00205803" w:rsidP="00031881">
      <w:r w:rsidRPr="0018259C">
        <w:t>Royal College of Nursing (RCN). (20</w:t>
      </w:r>
      <w:r>
        <w:t>17</w:t>
      </w:r>
      <w:r w:rsidRPr="0018259C">
        <w:t xml:space="preserve">) </w:t>
      </w:r>
      <w:r>
        <w:t xml:space="preserve">Essential Practice for </w:t>
      </w:r>
      <w:r w:rsidRPr="0018259C">
        <w:t xml:space="preserve">Infection </w:t>
      </w:r>
      <w:r>
        <w:t>P</w:t>
      </w:r>
      <w:r w:rsidRPr="0018259C">
        <w:t xml:space="preserve">revention and </w:t>
      </w:r>
      <w:r>
        <w:t>C</w:t>
      </w:r>
      <w:r w:rsidRPr="0018259C">
        <w:t>ontrol</w:t>
      </w:r>
      <w:r>
        <w:t xml:space="preserve"> – Guidance for Nursing Staff. </w:t>
      </w:r>
      <w:r w:rsidRPr="0018259C">
        <w:t xml:space="preserve">Available at: </w:t>
      </w:r>
      <w:hyperlink r:id="rId20" w:history="1">
        <w:r w:rsidRPr="00896E0B">
          <w:rPr>
            <w:rStyle w:val="Hyperlink"/>
          </w:rPr>
          <w:t>https://www.rcn.org.uk/Professional-Development/publications/pub-005940</w:t>
        </w:r>
      </w:hyperlink>
      <w:proofErr w:type="gramStart"/>
      <w:r>
        <w:t xml:space="preserve">  </w:t>
      </w:r>
      <w:r w:rsidRPr="0018259C">
        <w:t xml:space="preserve"> (</w:t>
      </w:r>
      <w:proofErr w:type="gramEnd"/>
      <w:r w:rsidRPr="0018259C">
        <w:t>Accessed: 1 May 2025).</w:t>
      </w:r>
    </w:p>
    <w:p w14:paraId="2566CA94" w14:textId="77777777" w:rsidR="008C1AE9" w:rsidRDefault="008C1AE9" w:rsidP="00FB6960">
      <w:pPr>
        <w:jc w:val="left"/>
      </w:pPr>
    </w:p>
    <w:p w14:paraId="2184FBAD" w14:textId="1B479D35" w:rsidR="00205803" w:rsidRDefault="00205803" w:rsidP="00FB6960">
      <w:pPr>
        <w:jc w:val="left"/>
      </w:pPr>
      <w:r w:rsidRPr="00FB6960">
        <w:t>UK Health Security Agency (UKHSA) (202</w:t>
      </w:r>
      <w:r>
        <w:t>5</w:t>
      </w:r>
      <w:r w:rsidRPr="00FB6960">
        <w:t xml:space="preserve">) BBVs in healthcare workers: health clearance and management. London: UKHSA. Available at: </w:t>
      </w:r>
      <w:r>
        <w:t xml:space="preserve"> </w:t>
      </w:r>
      <w:hyperlink r:id="rId21" w:history="1">
        <w:r w:rsidRPr="00896E0B">
          <w:rPr>
            <w:rStyle w:val="Hyperlink"/>
          </w:rPr>
          <w:t>https://www.gov.uk/government/publications/bbvs-in-healthcare-workers-health-clearance-and-management</w:t>
        </w:r>
      </w:hyperlink>
      <w:r>
        <w:t xml:space="preserve"> </w:t>
      </w:r>
      <w:r w:rsidRPr="00FB6960">
        <w:t xml:space="preserve"> (Accessed: 29 April 2025).</w:t>
      </w:r>
    </w:p>
    <w:p w14:paraId="1F20439B" w14:textId="77777777" w:rsidR="008C1AE9" w:rsidRDefault="008C1AE9" w:rsidP="000453CB"/>
    <w:p w14:paraId="05B7DCE4" w14:textId="73765ED0" w:rsidR="00205803" w:rsidRDefault="00205803" w:rsidP="000453CB">
      <w:r>
        <w:t xml:space="preserve">UK Health Security Agency (UKHSA) (2025) BBVs in healthcare workers: health clearance and management. Guidance for health clearance of healthcare workers (HCWs) and management of those infected with bloodborne viruses (BBVs) hepatitis B, hepatitis C and HIV. Available at: </w:t>
      </w:r>
      <w:hyperlink r:id="rId22" w:history="1">
        <w:r w:rsidRPr="00896E0B">
          <w:rPr>
            <w:rStyle w:val="Hyperlink"/>
          </w:rPr>
          <w:t>https://www.gov.uk/government/publications/bbvs-in-healthcare-workers-health-clearance-and-management</w:t>
        </w:r>
      </w:hyperlink>
      <w:r>
        <w:t xml:space="preserve">  (Accessed: 28 April 2025).</w:t>
      </w:r>
    </w:p>
    <w:p w14:paraId="26F68B61" w14:textId="77777777" w:rsidR="008C1AE9" w:rsidRDefault="008C1AE9" w:rsidP="00031881"/>
    <w:p w14:paraId="79A1BD6A" w14:textId="516B1C20" w:rsidR="00205803" w:rsidRDefault="00205803" w:rsidP="00031881">
      <w:r w:rsidRPr="003C7AB2">
        <w:t xml:space="preserve">UK Health Security Agency (UKHSA). (2023) Managing healthcare staff with symptoms of a respiratory infection or a positive COVID-19 test result. London: UKHSA. Available at: </w:t>
      </w:r>
      <w:hyperlink r:id="rId23" w:history="1">
        <w:r w:rsidR="008C1AE9" w:rsidRPr="005A23DD">
          <w:rPr>
            <w:rStyle w:val="Hyperlink"/>
          </w:rPr>
          <w:t>https://www.gov.uk/government/publications/covid-19-managing-healthcare-staff-with-symptoms-of-a-respiratory-infection/managing-healthcare-staff-with-symptoms-of-a-respiratory-infection-or-a-positive-covid-19-test-result</w:t>
        </w:r>
      </w:hyperlink>
      <w:r>
        <w:t xml:space="preserve"> </w:t>
      </w:r>
      <w:r w:rsidRPr="003C7AB2">
        <w:t xml:space="preserve"> (Accessed: 1 May 2025).​</w:t>
      </w:r>
    </w:p>
    <w:p w14:paraId="25F7F68A" w14:textId="77777777" w:rsidR="008C1AE9" w:rsidRDefault="008C1AE9" w:rsidP="00031881"/>
    <w:p w14:paraId="4CEC7A40" w14:textId="4527E138" w:rsidR="00205803" w:rsidRDefault="00205803" w:rsidP="00031881">
      <w:r w:rsidRPr="000B1D65">
        <w:t xml:space="preserve">UK Health Security Agency (UKHSA). (2024) NHS Infectious Diseases in Pregnancy Screening </w:t>
      </w:r>
      <w:proofErr w:type="spellStart"/>
      <w:r w:rsidRPr="000B1D65">
        <w:t>Programme</w:t>
      </w:r>
      <w:proofErr w:type="spellEnd"/>
      <w:r w:rsidRPr="000B1D65">
        <w:t xml:space="preserve"> Handbook. London: UKHSA. Available at: </w:t>
      </w:r>
      <w:hyperlink r:id="rId24" w:history="1">
        <w:r w:rsidRPr="00896E0B">
          <w:rPr>
            <w:rStyle w:val="Hyperlink"/>
          </w:rPr>
          <w:t>https://www.gov.uk/government/publications/infectious-diseases-in-pregnancy-screening-programme-handbook/nhs-infectious-diseases-in-pregnancy-screening-programme-handbook</w:t>
        </w:r>
      </w:hyperlink>
      <w:r>
        <w:t xml:space="preserve"> </w:t>
      </w:r>
      <w:r w:rsidRPr="000B1D65">
        <w:t xml:space="preserve"> (Accessed: 1 May 2025)</w:t>
      </w:r>
    </w:p>
    <w:sectPr w:rsidR="00205803"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844A" w14:textId="77777777" w:rsidR="00801C2E" w:rsidRDefault="00801C2E" w:rsidP="0085498A">
      <w:r>
        <w:separator/>
      </w:r>
    </w:p>
  </w:endnote>
  <w:endnote w:type="continuationSeparator" w:id="0">
    <w:p w14:paraId="3422388B" w14:textId="77777777" w:rsidR="00801C2E" w:rsidRDefault="00801C2E" w:rsidP="0085498A">
      <w:r>
        <w:continuationSeparator/>
      </w:r>
    </w:p>
  </w:endnote>
  <w:endnote w:type="continuationNotice" w:id="1">
    <w:p w14:paraId="6ECA9525" w14:textId="77777777" w:rsidR="00801C2E" w:rsidRDefault="00801C2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729C" w14:textId="77777777" w:rsidR="00801C2E" w:rsidRDefault="00801C2E" w:rsidP="0085498A">
      <w:r>
        <w:separator/>
      </w:r>
    </w:p>
  </w:footnote>
  <w:footnote w:type="continuationSeparator" w:id="0">
    <w:p w14:paraId="4D3D8D02" w14:textId="77777777" w:rsidR="00801C2E" w:rsidRDefault="00801C2E" w:rsidP="0085498A">
      <w:r>
        <w:continuationSeparator/>
      </w:r>
    </w:p>
  </w:footnote>
  <w:footnote w:type="continuationNotice" w:id="1">
    <w:p w14:paraId="2D056352" w14:textId="77777777" w:rsidR="00801C2E" w:rsidRDefault="00801C2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9264"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4"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3AB6"/>
    <w:multiLevelType w:val="hybridMultilevel"/>
    <w:tmpl w:val="2244D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81598"/>
    <w:multiLevelType w:val="hybridMultilevel"/>
    <w:tmpl w:val="1C880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A2C4B"/>
    <w:multiLevelType w:val="hybridMultilevel"/>
    <w:tmpl w:val="DBB6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3"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18"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2"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3354F4"/>
    <w:multiLevelType w:val="hybridMultilevel"/>
    <w:tmpl w:val="CFAA3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F1F56"/>
    <w:multiLevelType w:val="hybridMultilevel"/>
    <w:tmpl w:val="D4821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AA767C"/>
    <w:multiLevelType w:val="hybridMultilevel"/>
    <w:tmpl w:val="72A230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78757149">
    <w:abstractNumId w:val="23"/>
  </w:num>
  <w:num w:numId="2" w16cid:durableId="774060874">
    <w:abstractNumId w:val="1"/>
  </w:num>
  <w:num w:numId="3" w16cid:durableId="1927807248">
    <w:abstractNumId w:val="4"/>
  </w:num>
  <w:num w:numId="4" w16cid:durableId="206727877">
    <w:abstractNumId w:val="22"/>
  </w:num>
  <w:num w:numId="5" w16cid:durableId="363405985">
    <w:abstractNumId w:val="18"/>
  </w:num>
  <w:num w:numId="6" w16cid:durableId="1482383015">
    <w:abstractNumId w:val="0"/>
  </w:num>
  <w:num w:numId="7" w16cid:durableId="1979260177">
    <w:abstractNumId w:val="10"/>
  </w:num>
  <w:num w:numId="8" w16cid:durableId="997226264">
    <w:abstractNumId w:val="15"/>
  </w:num>
  <w:num w:numId="9" w16cid:durableId="81420213">
    <w:abstractNumId w:val="5"/>
  </w:num>
  <w:num w:numId="10" w16cid:durableId="1967813853">
    <w:abstractNumId w:val="14"/>
  </w:num>
  <w:num w:numId="11" w16cid:durableId="216858856">
    <w:abstractNumId w:val="26"/>
  </w:num>
  <w:num w:numId="12" w16cid:durableId="981422444">
    <w:abstractNumId w:val="19"/>
  </w:num>
  <w:num w:numId="13" w16cid:durableId="544827704">
    <w:abstractNumId w:val="6"/>
  </w:num>
  <w:num w:numId="14" w16cid:durableId="1346516444">
    <w:abstractNumId w:val="17"/>
  </w:num>
  <w:num w:numId="15" w16cid:durableId="1719747017">
    <w:abstractNumId w:val="28"/>
  </w:num>
  <w:num w:numId="16" w16cid:durableId="947421115">
    <w:abstractNumId w:val="31"/>
  </w:num>
  <w:num w:numId="17" w16cid:durableId="203293069">
    <w:abstractNumId w:val="2"/>
  </w:num>
  <w:num w:numId="18" w16cid:durableId="822818518">
    <w:abstractNumId w:val="21"/>
  </w:num>
  <w:num w:numId="19" w16cid:durableId="174930041">
    <w:abstractNumId w:val="3"/>
  </w:num>
  <w:num w:numId="20" w16cid:durableId="1611625208">
    <w:abstractNumId w:val="12"/>
  </w:num>
  <w:num w:numId="21" w16cid:durableId="984621544">
    <w:abstractNumId w:val="29"/>
  </w:num>
  <w:num w:numId="22" w16cid:durableId="1559854268">
    <w:abstractNumId w:val="25"/>
  </w:num>
  <w:num w:numId="23" w16cid:durableId="549659348">
    <w:abstractNumId w:val="20"/>
  </w:num>
  <w:num w:numId="24" w16cid:durableId="1625968037">
    <w:abstractNumId w:val="13"/>
  </w:num>
  <w:num w:numId="25" w16cid:durableId="2071541195">
    <w:abstractNumId w:val="16"/>
  </w:num>
  <w:num w:numId="26" w16cid:durableId="1274287790">
    <w:abstractNumId w:val="30"/>
  </w:num>
  <w:num w:numId="27" w16cid:durableId="1198350600">
    <w:abstractNumId w:val="8"/>
  </w:num>
  <w:num w:numId="28" w16cid:durableId="1822498329">
    <w:abstractNumId w:val="24"/>
  </w:num>
  <w:num w:numId="29" w16cid:durableId="1826235637">
    <w:abstractNumId w:val="32"/>
  </w:num>
  <w:num w:numId="30" w16cid:durableId="1654722803">
    <w:abstractNumId w:val="27"/>
  </w:num>
  <w:num w:numId="31" w16cid:durableId="1164855184">
    <w:abstractNumId w:val="7"/>
  </w:num>
  <w:num w:numId="32" w16cid:durableId="2118793587">
    <w:abstractNumId w:val="11"/>
  </w:num>
  <w:num w:numId="33" w16cid:durableId="2080978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423A"/>
    <w:rsid w:val="0000424D"/>
    <w:rsid w:val="00016E01"/>
    <w:rsid w:val="00017827"/>
    <w:rsid w:val="00024729"/>
    <w:rsid w:val="00031881"/>
    <w:rsid w:val="00044486"/>
    <w:rsid w:val="00044AB8"/>
    <w:rsid w:val="000453CB"/>
    <w:rsid w:val="000509E1"/>
    <w:rsid w:val="00063CDF"/>
    <w:rsid w:val="00080DD3"/>
    <w:rsid w:val="0008697E"/>
    <w:rsid w:val="00093CEB"/>
    <w:rsid w:val="000B1D65"/>
    <w:rsid w:val="000B7AD0"/>
    <w:rsid w:val="000C6454"/>
    <w:rsid w:val="000E0A92"/>
    <w:rsid w:val="000F5035"/>
    <w:rsid w:val="00101BBD"/>
    <w:rsid w:val="001021F3"/>
    <w:rsid w:val="0010316C"/>
    <w:rsid w:val="001219A9"/>
    <w:rsid w:val="00121B3A"/>
    <w:rsid w:val="00133844"/>
    <w:rsid w:val="001544CB"/>
    <w:rsid w:val="00171605"/>
    <w:rsid w:val="0018259C"/>
    <w:rsid w:val="001A3F58"/>
    <w:rsid w:val="001C0295"/>
    <w:rsid w:val="001C3CC3"/>
    <w:rsid w:val="001C72EF"/>
    <w:rsid w:val="001D400E"/>
    <w:rsid w:val="001D6A95"/>
    <w:rsid w:val="001F0EA3"/>
    <w:rsid w:val="001F47C8"/>
    <w:rsid w:val="001F4E70"/>
    <w:rsid w:val="002006AD"/>
    <w:rsid w:val="00201CA3"/>
    <w:rsid w:val="00205803"/>
    <w:rsid w:val="00213426"/>
    <w:rsid w:val="002155FA"/>
    <w:rsid w:val="002273AF"/>
    <w:rsid w:val="00227817"/>
    <w:rsid w:val="00231FE0"/>
    <w:rsid w:val="0023202F"/>
    <w:rsid w:val="00233DA9"/>
    <w:rsid w:val="00241F4D"/>
    <w:rsid w:val="00257083"/>
    <w:rsid w:val="00264DEA"/>
    <w:rsid w:val="00265B08"/>
    <w:rsid w:val="002802A1"/>
    <w:rsid w:val="00286FD8"/>
    <w:rsid w:val="00293F35"/>
    <w:rsid w:val="002967B1"/>
    <w:rsid w:val="002A1A78"/>
    <w:rsid w:val="002B327D"/>
    <w:rsid w:val="002B6FE4"/>
    <w:rsid w:val="002C0941"/>
    <w:rsid w:val="002C1BB5"/>
    <w:rsid w:val="002C4777"/>
    <w:rsid w:val="002C7494"/>
    <w:rsid w:val="002D210D"/>
    <w:rsid w:val="002D6F1F"/>
    <w:rsid w:val="002E0BBA"/>
    <w:rsid w:val="002E24B4"/>
    <w:rsid w:val="003064D2"/>
    <w:rsid w:val="0030794E"/>
    <w:rsid w:val="00343C44"/>
    <w:rsid w:val="00346F92"/>
    <w:rsid w:val="0036115F"/>
    <w:rsid w:val="00361A3F"/>
    <w:rsid w:val="00373CC2"/>
    <w:rsid w:val="003812E8"/>
    <w:rsid w:val="00397A9C"/>
    <w:rsid w:val="003B4263"/>
    <w:rsid w:val="003B5314"/>
    <w:rsid w:val="003C6D2D"/>
    <w:rsid w:val="003C7AB2"/>
    <w:rsid w:val="003D1059"/>
    <w:rsid w:val="003D752B"/>
    <w:rsid w:val="003E4B64"/>
    <w:rsid w:val="003E5C89"/>
    <w:rsid w:val="003F0AB5"/>
    <w:rsid w:val="00404B5A"/>
    <w:rsid w:val="00406473"/>
    <w:rsid w:val="00407FFA"/>
    <w:rsid w:val="0041465F"/>
    <w:rsid w:val="00430400"/>
    <w:rsid w:val="0045217F"/>
    <w:rsid w:val="00463B86"/>
    <w:rsid w:val="0048177D"/>
    <w:rsid w:val="004839C4"/>
    <w:rsid w:val="00491480"/>
    <w:rsid w:val="00496B31"/>
    <w:rsid w:val="004D25D5"/>
    <w:rsid w:val="004E2C31"/>
    <w:rsid w:val="004E2C50"/>
    <w:rsid w:val="00502E62"/>
    <w:rsid w:val="0051333C"/>
    <w:rsid w:val="00522B42"/>
    <w:rsid w:val="005351FA"/>
    <w:rsid w:val="0053550D"/>
    <w:rsid w:val="005435C3"/>
    <w:rsid w:val="00546198"/>
    <w:rsid w:val="00547320"/>
    <w:rsid w:val="005B262D"/>
    <w:rsid w:val="005B745D"/>
    <w:rsid w:val="005C0A0B"/>
    <w:rsid w:val="005C0AE2"/>
    <w:rsid w:val="005C5877"/>
    <w:rsid w:val="005C76F5"/>
    <w:rsid w:val="005C7AAD"/>
    <w:rsid w:val="005D3558"/>
    <w:rsid w:val="005E50BB"/>
    <w:rsid w:val="005E5264"/>
    <w:rsid w:val="005E72E4"/>
    <w:rsid w:val="005F1A1C"/>
    <w:rsid w:val="005F4024"/>
    <w:rsid w:val="00615D2B"/>
    <w:rsid w:val="00625E5D"/>
    <w:rsid w:val="00635894"/>
    <w:rsid w:val="00635BF4"/>
    <w:rsid w:val="00675CA0"/>
    <w:rsid w:val="00681B9D"/>
    <w:rsid w:val="0069423A"/>
    <w:rsid w:val="006A4CD1"/>
    <w:rsid w:val="006A5281"/>
    <w:rsid w:val="006A66A3"/>
    <w:rsid w:val="006B090C"/>
    <w:rsid w:val="006B5AC3"/>
    <w:rsid w:val="006B76D3"/>
    <w:rsid w:val="006C01D2"/>
    <w:rsid w:val="006C51B5"/>
    <w:rsid w:val="006C6750"/>
    <w:rsid w:val="006E11B5"/>
    <w:rsid w:val="006E3F31"/>
    <w:rsid w:val="006F471A"/>
    <w:rsid w:val="006F581C"/>
    <w:rsid w:val="00715771"/>
    <w:rsid w:val="00740FF0"/>
    <w:rsid w:val="00746BFD"/>
    <w:rsid w:val="00747F29"/>
    <w:rsid w:val="00790169"/>
    <w:rsid w:val="00790710"/>
    <w:rsid w:val="00796620"/>
    <w:rsid w:val="00796F5C"/>
    <w:rsid w:val="007A191E"/>
    <w:rsid w:val="007B2215"/>
    <w:rsid w:val="007B56BD"/>
    <w:rsid w:val="007C66C9"/>
    <w:rsid w:val="007C6B9B"/>
    <w:rsid w:val="007E5CB0"/>
    <w:rsid w:val="007F44EA"/>
    <w:rsid w:val="0080121D"/>
    <w:rsid w:val="00801C2E"/>
    <w:rsid w:val="008049C0"/>
    <w:rsid w:val="00824956"/>
    <w:rsid w:val="008417D7"/>
    <w:rsid w:val="008424C7"/>
    <w:rsid w:val="00850634"/>
    <w:rsid w:val="00850755"/>
    <w:rsid w:val="008511B3"/>
    <w:rsid w:val="0085498A"/>
    <w:rsid w:val="00856DE7"/>
    <w:rsid w:val="00860313"/>
    <w:rsid w:val="00860929"/>
    <w:rsid w:val="008730EF"/>
    <w:rsid w:val="00877D94"/>
    <w:rsid w:val="00883C81"/>
    <w:rsid w:val="00887311"/>
    <w:rsid w:val="008956B5"/>
    <w:rsid w:val="00895C52"/>
    <w:rsid w:val="008A46F2"/>
    <w:rsid w:val="008A6582"/>
    <w:rsid w:val="008B4EBD"/>
    <w:rsid w:val="008C1AE9"/>
    <w:rsid w:val="008C1BBD"/>
    <w:rsid w:val="008C48F3"/>
    <w:rsid w:val="008C7275"/>
    <w:rsid w:val="008D547B"/>
    <w:rsid w:val="008E2774"/>
    <w:rsid w:val="008E6417"/>
    <w:rsid w:val="008F1CCC"/>
    <w:rsid w:val="008F4CD0"/>
    <w:rsid w:val="00900D8D"/>
    <w:rsid w:val="009151EF"/>
    <w:rsid w:val="00916E90"/>
    <w:rsid w:val="00926197"/>
    <w:rsid w:val="0093413D"/>
    <w:rsid w:val="0094047A"/>
    <w:rsid w:val="00942F86"/>
    <w:rsid w:val="00962B26"/>
    <w:rsid w:val="00965BCD"/>
    <w:rsid w:val="00992DF0"/>
    <w:rsid w:val="00993A8D"/>
    <w:rsid w:val="009B0422"/>
    <w:rsid w:val="009B2B30"/>
    <w:rsid w:val="009C0018"/>
    <w:rsid w:val="009C46DB"/>
    <w:rsid w:val="009D7D55"/>
    <w:rsid w:val="009E358B"/>
    <w:rsid w:val="00A00AAC"/>
    <w:rsid w:val="00A218C1"/>
    <w:rsid w:val="00A27C7A"/>
    <w:rsid w:val="00A307FD"/>
    <w:rsid w:val="00A33A94"/>
    <w:rsid w:val="00A3528C"/>
    <w:rsid w:val="00A36B01"/>
    <w:rsid w:val="00A40293"/>
    <w:rsid w:val="00A42B4E"/>
    <w:rsid w:val="00A50DC5"/>
    <w:rsid w:val="00A75659"/>
    <w:rsid w:val="00A800DF"/>
    <w:rsid w:val="00AA26D2"/>
    <w:rsid w:val="00AA6237"/>
    <w:rsid w:val="00AB7437"/>
    <w:rsid w:val="00AE002F"/>
    <w:rsid w:val="00AE0BDD"/>
    <w:rsid w:val="00AE2D70"/>
    <w:rsid w:val="00AF3CDF"/>
    <w:rsid w:val="00B06A78"/>
    <w:rsid w:val="00B101F1"/>
    <w:rsid w:val="00B20763"/>
    <w:rsid w:val="00B207BA"/>
    <w:rsid w:val="00B34E8C"/>
    <w:rsid w:val="00B4178B"/>
    <w:rsid w:val="00B5205D"/>
    <w:rsid w:val="00B522D1"/>
    <w:rsid w:val="00B60E17"/>
    <w:rsid w:val="00B8012D"/>
    <w:rsid w:val="00B850FE"/>
    <w:rsid w:val="00B95F69"/>
    <w:rsid w:val="00B96E11"/>
    <w:rsid w:val="00BA378C"/>
    <w:rsid w:val="00BB4C26"/>
    <w:rsid w:val="00BB6B46"/>
    <w:rsid w:val="00BE7166"/>
    <w:rsid w:val="00BF1668"/>
    <w:rsid w:val="00C0586A"/>
    <w:rsid w:val="00C11EB6"/>
    <w:rsid w:val="00C23644"/>
    <w:rsid w:val="00C30D86"/>
    <w:rsid w:val="00C413AE"/>
    <w:rsid w:val="00C42C24"/>
    <w:rsid w:val="00C47BF6"/>
    <w:rsid w:val="00C524E5"/>
    <w:rsid w:val="00C57E41"/>
    <w:rsid w:val="00C72717"/>
    <w:rsid w:val="00C8393C"/>
    <w:rsid w:val="00C83A01"/>
    <w:rsid w:val="00CA062C"/>
    <w:rsid w:val="00CA6F00"/>
    <w:rsid w:val="00CD2F2B"/>
    <w:rsid w:val="00CE1C00"/>
    <w:rsid w:val="00CF3136"/>
    <w:rsid w:val="00D00611"/>
    <w:rsid w:val="00D07B84"/>
    <w:rsid w:val="00D157E9"/>
    <w:rsid w:val="00D51304"/>
    <w:rsid w:val="00D6168A"/>
    <w:rsid w:val="00D72DAA"/>
    <w:rsid w:val="00DA00FB"/>
    <w:rsid w:val="00DA0E91"/>
    <w:rsid w:val="00DA3FE7"/>
    <w:rsid w:val="00DB335A"/>
    <w:rsid w:val="00DB3DFE"/>
    <w:rsid w:val="00DC2176"/>
    <w:rsid w:val="00DE0B38"/>
    <w:rsid w:val="00DE34D4"/>
    <w:rsid w:val="00DF65C6"/>
    <w:rsid w:val="00DF707F"/>
    <w:rsid w:val="00E003F5"/>
    <w:rsid w:val="00E04380"/>
    <w:rsid w:val="00E12AC1"/>
    <w:rsid w:val="00E20056"/>
    <w:rsid w:val="00E20621"/>
    <w:rsid w:val="00E20B52"/>
    <w:rsid w:val="00E20B6A"/>
    <w:rsid w:val="00E30C02"/>
    <w:rsid w:val="00E57F71"/>
    <w:rsid w:val="00E57F75"/>
    <w:rsid w:val="00E640FF"/>
    <w:rsid w:val="00E648B5"/>
    <w:rsid w:val="00E71199"/>
    <w:rsid w:val="00E86571"/>
    <w:rsid w:val="00E94756"/>
    <w:rsid w:val="00E95E0B"/>
    <w:rsid w:val="00EB505D"/>
    <w:rsid w:val="00EB7481"/>
    <w:rsid w:val="00EC2175"/>
    <w:rsid w:val="00EC427C"/>
    <w:rsid w:val="00ED063B"/>
    <w:rsid w:val="00ED2363"/>
    <w:rsid w:val="00ED3200"/>
    <w:rsid w:val="00EE0360"/>
    <w:rsid w:val="00EE66CF"/>
    <w:rsid w:val="00EF08CB"/>
    <w:rsid w:val="00F059E0"/>
    <w:rsid w:val="00F07200"/>
    <w:rsid w:val="00F15068"/>
    <w:rsid w:val="00F21B0A"/>
    <w:rsid w:val="00F30E57"/>
    <w:rsid w:val="00F32533"/>
    <w:rsid w:val="00F32D7C"/>
    <w:rsid w:val="00F37995"/>
    <w:rsid w:val="00F44756"/>
    <w:rsid w:val="00F50FD9"/>
    <w:rsid w:val="00F54AEF"/>
    <w:rsid w:val="00F55370"/>
    <w:rsid w:val="00F9181C"/>
    <w:rsid w:val="00F9338C"/>
    <w:rsid w:val="00F9718D"/>
    <w:rsid w:val="00F97AD3"/>
    <w:rsid w:val="00FA4D0A"/>
    <w:rsid w:val="00FB5630"/>
    <w:rsid w:val="00FB6960"/>
    <w:rsid w:val="00FE0BD0"/>
    <w:rsid w:val="00FE293A"/>
    <w:rsid w:val="00FE61A0"/>
    <w:rsid w:val="00FE6502"/>
    <w:rsid w:val="00FF2C52"/>
    <w:rsid w:val="00FF54F1"/>
    <w:rsid w:val="37148A57"/>
    <w:rsid w:val="5B6D557C"/>
    <w:rsid w:val="739EC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A09D41CD-A08A-41B7-A4D6-6FAD2AC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table" w:styleId="PlainTable3">
    <w:name w:val="Plain Table 3"/>
    <w:basedOn w:val="TableNormal"/>
    <w:uiPriority w:val="43"/>
    <w:rsid w:val="00293F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rsid w:val="008424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UnresolvedMention">
    <w:name w:val="Unresolved Mention"/>
    <w:basedOn w:val="DefaultParagraphFont"/>
    <w:uiPriority w:val="99"/>
    <w:semiHidden/>
    <w:unhideWhenUsed/>
    <w:rsid w:val="002A1A78"/>
    <w:rPr>
      <w:color w:val="605E5C"/>
      <w:shd w:val="clear" w:color="auto" w:fill="E1DFDD"/>
    </w:rPr>
  </w:style>
  <w:style w:type="character" w:styleId="FollowedHyperlink">
    <w:name w:val="FollowedHyperlink"/>
    <w:basedOn w:val="DefaultParagraphFont"/>
    <w:uiPriority w:val="99"/>
    <w:semiHidden/>
    <w:unhideWhenUsed/>
    <w:rsid w:val="00017827"/>
    <w:rPr>
      <w:color w:val="954F72" w:themeColor="followedHyperlink"/>
      <w:u w:val="single"/>
    </w:rPr>
  </w:style>
  <w:style w:type="character" w:styleId="Mention">
    <w:name w:val="Mention"/>
    <w:basedOn w:val="DefaultParagraphFont"/>
    <w:uiPriority w:val="99"/>
    <w:unhideWhenUsed/>
    <w:rsid w:val="00992D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ice.org.uk/guidance/cg1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bbvs-in-healthcare-workers-health-clearance-and-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je/Industry/HealthSafetyWork/HSI/Legislation/General/pages/healthsafetygeneralguid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cn.org.uk/Professional-Development/publications/pub-0059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infectious-diseases-in-pregnancy-screening-programme-handbook/nhs-infectious-diseases-in-pregnancy-screening-programme-handbook" TargetMode="External"/><Relationship Id="rId5" Type="http://schemas.openxmlformats.org/officeDocument/2006/relationships/numbering" Target="numbering.xml"/><Relationship Id="rId15" Type="http://schemas.openxmlformats.org/officeDocument/2006/relationships/hyperlink" Target="https://www.fnhc.org.je/procedure-library/" TargetMode="External"/><Relationship Id="rId23" Type="http://schemas.openxmlformats.org/officeDocument/2006/relationships/hyperlink" Target="https://www.gov.uk/government/publications/covid-19-managing-healthcare-staff-with-symptoms-of-a-respiratory-infection/managing-healthcare-staff-with-symptoms-of-a-respiratory-infection-or-a-positive-covid-19-test-result" TargetMode="External"/><Relationship Id="rId10" Type="http://schemas.openxmlformats.org/officeDocument/2006/relationships/endnotes" Target="endnotes.xml"/><Relationship Id="rId19" Type="http://schemas.openxmlformats.org/officeDocument/2006/relationships/hyperlink" Target="https://www.england.nhs.uk/publication/national-infection-prevention-and-control-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bbvs-in-healthcare-workers-health-clearance-and-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true</MovetoMasterfile>
  </documentManagement>
</p:properties>
</file>

<file path=customXml/itemProps1.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2.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3.xml><?xml version="1.0" encoding="utf-8"?>
<ds:datastoreItem xmlns:ds="http://schemas.openxmlformats.org/officeDocument/2006/customXml" ds:itemID="{81FCFFFB-A6E2-4FB7-B74F-6FE46A7F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2</cp:revision>
  <cp:lastPrinted>2020-01-22T11:58:00Z</cp:lastPrinted>
  <dcterms:created xsi:type="dcterms:W3CDTF">2025-06-05T11:43:00Z</dcterms:created>
  <dcterms:modified xsi:type="dcterms:W3CDTF">2025-06-05T11:43:00Z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