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AD004" w14:textId="52406177" w:rsidR="005351FA" w:rsidRPr="00856DE7" w:rsidRDefault="005351FA" w:rsidP="00286FD8">
      <w:pPr>
        <w:jc w:val="center"/>
        <w:rPr>
          <w:rFonts w:cs="Arial"/>
        </w:rPr>
      </w:pPr>
    </w:p>
    <w:p w14:paraId="4E114249" w14:textId="7A4C01F5" w:rsidR="005351FA" w:rsidRPr="00856DE7" w:rsidRDefault="005351FA" w:rsidP="005351FA">
      <w:pPr>
        <w:rPr>
          <w:rFonts w:cs="Arial"/>
        </w:rPr>
      </w:pPr>
    </w:p>
    <w:p w14:paraId="0728C869" w14:textId="77777777" w:rsidR="00856DE7" w:rsidRPr="00856DE7" w:rsidRDefault="00856DE7" w:rsidP="005351FA">
      <w:pPr>
        <w:rPr>
          <w:rFonts w:cs="Arial"/>
          <w:b/>
          <w:noProof/>
          <w:sz w:val="28"/>
        </w:rPr>
      </w:pPr>
    </w:p>
    <w:p w14:paraId="429D081C" w14:textId="77777777" w:rsidR="005351FA" w:rsidRPr="00856DE7" w:rsidRDefault="00856DE7" w:rsidP="005351FA">
      <w:pPr>
        <w:rPr>
          <w:rFonts w:cs="Arial"/>
        </w:rPr>
      </w:pPr>
      <w:r w:rsidRPr="00856DE7">
        <w:rPr>
          <w:rFonts w:cs="Arial"/>
          <w:b/>
          <w:noProof/>
          <w:sz w:val="28"/>
          <w:lang w:val="en-GB" w:eastAsia="en-GB"/>
        </w:rPr>
        <w:drawing>
          <wp:anchor distT="0" distB="0" distL="114300" distR="114300" simplePos="0" relativeHeight="251658241" behindDoc="1" locked="0" layoutInCell="1" allowOverlap="1" wp14:anchorId="7E44A790" wp14:editId="2ADD4D3A">
            <wp:simplePos x="0" y="0"/>
            <wp:positionH relativeFrom="column">
              <wp:posOffset>1005205</wp:posOffset>
            </wp:positionH>
            <wp:positionV relativeFrom="paragraph">
              <wp:posOffset>10160</wp:posOffset>
            </wp:positionV>
            <wp:extent cx="4213860" cy="1841500"/>
            <wp:effectExtent l="0" t="0" r="0" b="6350"/>
            <wp:wrapTight wrapText="bothSides">
              <wp:wrapPolygon edited="0">
                <wp:start x="0" y="0"/>
                <wp:lineTo x="0" y="21451"/>
                <wp:lineTo x="21483" y="21451"/>
                <wp:lineTo x="21483"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386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CFB35" w14:textId="77777777" w:rsidR="005351FA" w:rsidRPr="00856DE7" w:rsidRDefault="005351FA" w:rsidP="005351FA">
      <w:pPr>
        <w:rPr>
          <w:rFonts w:cs="Arial"/>
        </w:rPr>
      </w:pPr>
    </w:p>
    <w:p w14:paraId="2D4DDC59" w14:textId="77777777" w:rsidR="005351FA" w:rsidRPr="00856DE7" w:rsidRDefault="005351FA" w:rsidP="005351FA">
      <w:pPr>
        <w:rPr>
          <w:rFonts w:cs="Arial"/>
        </w:rPr>
      </w:pPr>
    </w:p>
    <w:p w14:paraId="1F0B0FBC" w14:textId="77777777" w:rsidR="005351FA" w:rsidRPr="00856DE7" w:rsidRDefault="005351FA" w:rsidP="005351FA">
      <w:pPr>
        <w:rPr>
          <w:rFonts w:cs="Arial"/>
        </w:rPr>
      </w:pPr>
    </w:p>
    <w:p w14:paraId="06676B21" w14:textId="77777777" w:rsidR="00856DE7" w:rsidRPr="00856DE7" w:rsidRDefault="00856DE7" w:rsidP="005351FA">
      <w:pPr>
        <w:rPr>
          <w:rFonts w:cs="Arial"/>
        </w:rPr>
      </w:pPr>
    </w:p>
    <w:p w14:paraId="48857D92" w14:textId="77777777" w:rsidR="00856DE7" w:rsidRPr="00856DE7" w:rsidRDefault="00856DE7" w:rsidP="005351FA">
      <w:pPr>
        <w:rPr>
          <w:rFonts w:cs="Arial"/>
        </w:rPr>
      </w:pPr>
    </w:p>
    <w:p w14:paraId="442F26CD" w14:textId="77777777" w:rsidR="00856DE7" w:rsidRPr="00856DE7" w:rsidRDefault="00856DE7" w:rsidP="005351FA">
      <w:pPr>
        <w:rPr>
          <w:rFonts w:cs="Arial"/>
        </w:rPr>
      </w:pPr>
    </w:p>
    <w:p w14:paraId="72AE5892" w14:textId="22857621" w:rsidR="00856DE7" w:rsidRDefault="00856DE7" w:rsidP="005351FA">
      <w:pPr>
        <w:rPr>
          <w:rFonts w:cs="Arial"/>
        </w:rPr>
      </w:pPr>
    </w:p>
    <w:p w14:paraId="751192AC" w14:textId="3E34C3A6" w:rsidR="00796F5C" w:rsidRDefault="00796F5C" w:rsidP="005351FA">
      <w:pPr>
        <w:rPr>
          <w:rFonts w:cs="Arial"/>
        </w:rPr>
      </w:pPr>
    </w:p>
    <w:p w14:paraId="09429831" w14:textId="5AD53DF5" w:rsidR="00796F5C" w:rsidRDefault="00796F5C" w:rsidP="005351FA">
      <w:pPr>
        <w:rPr>
          <w:rFonts w:cs="Arial"/>
        </w:rPr>
      </w:pPr>
    </w:p>
    <w:p w14:paraId="41B6B5A6" w14:textId="19636C63" w:rsidR="00796F5C" w:rsidRDefault="00796F5C" w:rsidP="005351FA">
      <w:pPr>
        <w:rPr>
          <w:rFonts w:cs="Arial"/>
        </w:rPr>
      </w:pPr>
    </w:p>
    <w:p w14:paraId="1641C598" w14:textId="74461176" w:rsidR="00796F5C" w:rsidRDefault="00796F5C" w:rsidP="005351FA">
      <w:pPr>
        <w:rPr>
          <w:rFonts w:cs="Arial"/>
        </w:rPr>
      </w:pPr>
    </w:p>
    <w:p w14:paraId="3F18D361" w14:textId="3671FF4A" w:rsidR="00796F5C" w:rsidRDefault="00796F5C" w:rsidP="005351FA">
      <w:pPr>
        <w:rPr>
          <w:rFonts w:cs="Arial"/>
        </w:rPr>
      </w:pPr>
    </w:p>
    <w:p w14:paraId="4E5B858F" w14:textId="4DA3E583" w:rsidR="00796F5C" w:rsidRDefault="00DF321A" w:rsidP="005351FA">
      <w:pPr>
        <w:rPr>
          <w:rFonts w:cs="Arial"/>
        </w:rPr>
      </w:pPr>
      <w:r w:rsidRPr="00856DE7">
        <w:rPr>
          <w:rFonts w:cs="Arial"/>
          <w:noProof/>
          <w:lang w:val="en-GB" w:eastAsia="en-GB"/>
        </w:rPr>
        <mc:AlternateContent>
          <mc:Choice Requires="wps">
            <w:drawing>
              <wp:anchor distT="0" distB="0" distL="114300" distR="114300" simplePos="0" relativeHeight="251658240" behindDoc="0" locked="0" layoutInCell="1" allowOverlap="1" wp14:anchorId="06E8851D" wp14:editId="23A8BA4B">
                <wp:simplePos x="0" y="0"/>
                <wp:positionH relativeFrom="margin">
                  <wp:align>left</wp:align>
                </wp:positionH>
                <wp:positionV relativeFrom="paragraph">
                  <wp:posOffset>135255</wp:posOffset>
                </wp:positionV>
                <wp:extent cx="5486400" cy="297815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978150"/>
                        </a:xfrm>
                        <a:prstGeom prst="rect">
                          <a:avLst/>
                        </a:prstGeom>
                        <a:solidFill>
                          <a:srgbClr val="FFFFFF"/>
                        </a:solidFill>
                        <a:ln w="9525">
                          <a:solidFill>
                            <a:srgbClr val="000000"/>
                          </a:solidFill>
                          <a:miter lim="800000"/>
                          <a:headEnd/>
                          <a:tailEnd/>
                        </a:ln>
                      </wps:spPr>
                      <wps:txbx>
                        <w:txbxContent>
                          <w:p w14:paraId="3B83117B" w14:textId="77777777" w:rsidR="005351FA" w:rsidRDefault="005351FA" w:rsidP="005351FA">
                            <w:pPr>
                              <w:jc w:val="center"/>
                              <w:rPr>
                                <w:rFonts w:cs="Arial"/>
                                <w:b/>
                                <w:sz w:val="40"/>
                                <w:szCs w:val="40"/>
                              </w:rPr>
                            </w:pPr>
                          </w:p>
                          <w:p w14:paraId="2E4276CD" w14:textId="17F80F26" w:rsidR="005351FA" w:rsidRDefault="00DF321A" w:rsidP="005351FA">
                            <w:pPr>
                              <w:jc w:val="center"/>
                              <w:rPr>
                                <w:rFonts w:cs="Arial"/>
                                <w:b/>
                                <w:sz w:val="52"/>
                                <w:szCs w:val="52"/>
                              </w:rPr>
                            </w:pPr>
                            <w:r>
                              <w:rPr>
                                <w:rFonts w:cs="Arial"/>
                                <w:b/>
                                <w:sz w:val="52"/>
                                <w:szCs w:val="52"/>
                              </w:rPr>
                              <w:t xml:space="preserve">Injectable Medicines </w:t>
                            </w:r>
                            <w:r w:rsidR="005351FA" w:rsidRPr="00C959EF">
                              <w:rPr>
                                <w:rFonts w:cs="Arial"/>
                                <w:b/>
                                <w:sz w:val="52"/>
                                <w:szCs w:val="52"/>
                              </w:rPr>
                              <w:t xml:space="preserve">Policy </w:t>
                            </w:r>
                            <w:r>
                              <w:rPr>
                                <w:rFonts w:cs="Arial"/>
                                <w:b/>
                                <w:sz w:val="52"/>
                                <w:szCs w:val="52"/>
                              </w:rPr>
                              <w:t>for Children and Young People</w:t>
                            </w:r>
                          </w:p>
                          <w:p w14:paraId="46D4509E" w14:textId="77777777" w:rsidR="0048177D" w:rsidRDefault="0048177D" w:rsidP="005351FA">
                            <w:pPr>
                              <w:jc w:val="center"/>
                              <w:rPr>
                                <w:rFonts w:cs="Arial"/>
                                <w:b/>
                                <w:sz w:val="52"/>
                                <w:szCs w:val="52"/>
                              </w:rPr>
                            </w:pPr>
                          </w:p>
                          <w:p w14:paraId="5A259570" w14:textId="4382117B" w:rsidR="0048177D" w:rsidRPr="0048177D" w:rsidRDefault="007E7A9B" w:rsidP="005351FA">
                            <w:pPr>
                              <w:jc w:val="center"/>
                              <w:rPr>
                                <w:rFonts w:cs="Arial"/>
                                <w:b/>
                                <w:sz w:val="44"/>
                                <w:szCs w:val="52"/>
                              </w:rPr>
                            </w:pPr>
                            <w:r>
                              <w:rPr>
                                <w:rFonts w:cs="Arial"/>
                                <w:b/>
                                <w:sz w:val="44"/>
                                <w:szCs w:val="52"/>
                              </w:rPr>
                              <w:t xml:space="preserve">July </w:t>
                            </w:r>
                            <w:r w:rsidR="00DF321A">
                              <w:rPr>
                                <w:rFonts w:cs="Arial"/>
                                <w:b/>
                                <w:sz w:val="44"/>
                                <w:szCs w:val="52"/>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8851D" id="_x0000_t202" coordsize="21600,21600" o:spt="202" path="m,l,21600r21600,l21600,xe">
                <v:stroke joinstyle="miter"/>
                <v:path gradientshapeok="t" o:connecttype="rect"/>
              </v:shapetype>
              <v:shape id="Text Box 1" o:spid="_x0000_s1026" type="#_x0000_t202" style="position:absolute;left:0;text-align:left;margin-left:0;margin-top:10.65pt;width:6in;height:23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">
                <v:textbox>
                  <w:txbxContent>
                    <w:p w14:paraId="3B83117B" w14:textId="77777777" w:rsidR="005351FA" w:rsidRDefault="005351FA" w:rsidP="005351FA">
                      <w:pPr>
                        <w:jc w:val="center"/>
                        <w:rPr>
                          <w:rFonts w:cs="Arial"/>
                          <w:b/>
                          <w:sz w:val="40"/>
                          <w:szCs w:val="40"/>
                        </w:rPr>
                      </w:pPr>
                    </w:p>
                    <w:p w14:paraId="2E4276CD" w14:textId="17F80F26" w:rsidR="005351FA" w:rsidRDefault="00DF321A" w:rsidP="005351FA">
                      <w:pPr>
                        <w:jc w:val="center"/>
                        <w:rPr>
                          <w:rFonts w:cs="Arial"/>
                          <w:b/>
                          <w:sz w:val="52"/>
                          <w:szCs w:val="52"/>
                        </w:rPr>
                      </w:pPr>
                      <w:r>
                        <w:rPr>
                          <w:rFonts w:cs="Arial"/>
                          <w:b/>
                          <w:sz w:val="52"/>
                          <w:szCs w:val="52"/>
                        </w:rPr>
                        <w:t xml:space="preserve">Injectable Medicines </w:t>
                      </w:r>
                      <w:r w:rsidR="005351FA" w:rsidRPr="00C959EF">
                        <w:rPr>
                          <w:rFonts w:cs="Arial"/>
                          <w:b/>
                          <w:sz w:val="52"/>
                          <w:szCs w:val="52"/>
                        </w:rPr>
                        <w:t xml:space="preserve">Policy </w:t>
                      </w:r>
                      <w:r>
                        <w:rPr>
                          <w:rFonts w:cs="Arial"/>
                          <w:b/>
                          <w:sz w:val="52"/>
                          <w:szCs w:val="52"/>
                        </w:rPr>
                        <w:t>for Children and Young People</w:t>
                      </w:r>
                    </w:p>
                    <w:p w14:paraId="46D4509E" w14:textId="77777777" w:rsidR="0048177D" w:rsidRDefault="0048177D" w:rsidP="005351FA">
                      <w:pPr>
                        <w:jc w:val="center"/>
                        <w:rPr>
                          <w:rFonts w:cs="Arial"/>
                          <w:b/>
                          <w:sz w:val="52"/>
                          <w:szCs w:val="52"/>
                        </w:rPr>
                      </w:pPr>
                    </w:p>
                    <w:p w14:paraId="5A259570" w14:textId="4382117B" w:rsidR="0048177D" w:rsidRPr="0048177D" w:rsidRDefault="007E7A9B" w:rsidP="005351FA">
                      <w:pPr>
                        <w:jc w:val="center"/>
                        <w:rPr>
                          <w:rFonts w:cs="Arial"/>
                          <w:b/>
                          <w:sz w:val="44"/>
                          <w:szCs w:val="52"/>
                        </w:rPr>
                      </w:pPr>
                      <w:r>
                        <w:rPr>
                          <w:rFonts w:cs="Arial"/>
                          <w:b/>
                          <w:sz w:val="44"/>
                          <w:szCs w:val="52"/>
                        </w:rPr>
                        <w:t xml:space="preserve">July </w:t>
                      </w:r>
                      <w:r w:rsidR="00DF321A">
                        <w:rPr>
                          <w:rFonts w:cs="Arial"/>
                          <w:b/>
                          <w:sz w:val="44"/>
                          <w:szCs w:val="52"/>
                        </w:rPr>
                        <w:t>2025</w:t>
                      </w:r>
                    </w:p>
                  </w:txbxContent>
                </v:textbox>
                <w10:wrap anchorx="margin"/>
              </v:shape>
            </w:pict>
          </mc:Fallback>
        </mc:AlternateContent>
      </w:r>
    </w:p>
    <w:p w14:paraId="61D5F0CA" w14:textId="77AEA7A8" w:rsidR="00796F5C" w:rsidRPr="00856DE7" w:rsidRDefault="00796F5C" w:rsidP="005351FA">
      <w:pPr>
        <w:rPr>
          <w:rFonts w:cs="Arial"/>
        </w:rPr>
      </w:pPr>
    </w:p>
    <w:p w14:paraId="2588C9F5" w14:textId="37F85A10" w:rsidR="005351FA" w:rsidRPr="00856DE7" w:rsidRDefault="005351FA" w:rsidP="005351FA">
      <w:pPr>
        <w:rPr>
          <w:rFonts w:cs="Arial"/>
        </w:rPr>
      </w:pPr>
    </w:p>
    <w:p w14:paraId="0BB88BA8" w14:textId="77777777" w:rsidR="005351FA" w:rsidRPr="00856DE7" w:rsidRDefault="005351FA" w:rsidP="005351FA">
      <w:pPr>
        <w:rPr>
          <w:rFonts w:cs="Arial"/>
        </w:rPr>
      </w:pPr>
    </w:p>
    <w:p w14:paraId="41D262BB" w14:textId="77777777" w:rsidR="005351FA" w:rsidRPr="00856DE7" w:rsidRDefault="005351FA" w:rsidP="005351FA">
      <w:pPr>
        <w:rPr>
          <w:rFonts w:cs="Arial"/>
        </w:rPr>
      </w:pPr>
    </w:p>
    <w:p w14:paraId="3F226A56" w14:textId="77777777" w:rsidR="005351FA" w:rsidRPr="00856DE7" w:rsidRDefault="005351FA" w:rsidP="005351FA">
      <w:pPr>
        <w:rPr>
          <w:rFonts w:cs="Arial"/>
        </w:rPr>
      </w:pPr>
    </w:p>
    <w:p w14:paraId="26564D3F" w14:textId="77777777" w:rsidR="005351FA" w:rsidRPr="00856DE7" w:rsidRDefault="005351FA" w:rsidP="005351FA">
      <w:pPr>
        <w:rPr>
          <w:rFonts w:cs="Arial"/>
        </w:rPr>
      </w:pPr>
    </w:p>
    <w:p w14:paraId="57DE21DB" w14:textId="77777777" w:rsidR="005351FA" w:rsidRPr="00856DE7" w:rsidRDefault="005351FA" w:rsidP="005351FA">
      <w:pPr>
        <w:rPr>
          <w:rFonts w:cs="Arial"/>
        </w:rPr>
      </w:pPr>
    </w:p>
    <w:p w14:paraId="7FC5C2B2" w14:textId="77777777" w:rsidR="005351FA" w:rsidRPr="00856DE7" w:rsidRDefault="005351FA" w:rsidP="005351FA">
      <w:pPr>
        <w:rPr>
          <w:rFonts w:cs="Arial"/>
        </w:rPr>
      </w:pPr>
    </w:p>
    <w:p w14:paraId="60CB1555" w14:textId="77777777" w:rsidR="005351FA" w:rsidRPr="00856DE7" w:rsidRDefault="005351FA" w:rsidP="005351FA">
      <w:pPr>
        <w:rPr>
          <w:rFonts w:cs="Arial"/>
        </w:rPr>
      </w:pPr>
    </w:p>
    <w:p w14:paraId="4C05A7CA" w14:textId="4CBCCFA4" w:rsidR="005351FA" w:rsidRPr="00856DE7" w:rsidRDefault="005351FA" w:rsidP="005351FA">
      <w:pPr>
        <w:rPr>
          <w:rFonts w:cs="Arial"/>
        </w:rPr>
      </w:pPr>
    </w:p>
    <w:p w14:paraId="1002D2C4" w14:textId="77777777" w:rsidR="005351FA" w:rsidRPr="00856DE7" w:rsidRDefault="005351FA" w:rsidP="005351FA">
      <w:pPr>
        <w:rPr>
          <w:rFonts w:cs="Arial"/>
        </w:rPr>
      </w:pPr>
    </w:p>
    <w:p w14:paraId="575C6FA2" w14:textId="77777777" w:rsidR="00856DE7" w:rsidRPr="00856DE7" w:rsidRDefault="00856DE7" w:rsidP="005351FA">
      <w:pPr>
        <w:rPr>
          <w:rFonts w:cs="Arial"/>
        </w:rPr>
        <w:sectPr w:rsidR="00856DE7" w:rsidRPr="00856DE7" w:rsidSect="002006AD">
          <w:headerReference w:type="default" r:id="rId12"/>
          <w:footerReference w:type="default" r:id="rId13"/>
          <w:pgSz w:w="11906" w:h="16838"/>
          <w:pgMar w:top="1440" w:right="1440" w:bottom="1135" w:left="1440" w:header="708" w:footer="220" w:gutter="0"/>
          <w:cols w:space="708"/>
          <w:titlePg/>
          <w:docGrid w:linePitch="360"/>
        </w:sectPr>
      </w:pPr>
    </w:p>
    <w:p w14:paraId="1033902B" w14:textId="77777777" w:rsidR="005351FA" w:rsidRPr="00A33A94" w:rsidRDefault="00615D2B" w:rsidP="00615D2B">
      <w:pPr>
        <w:spacing w:before="240" w:after="120"/>
        <w:jc w:val="left"/>
        <w:rPr>
          <w:rFonts w:cs="Arial"/>
          <w:b/>
          <w:sz w:val="26"/>
          <w:szCs w:val="28"/>
        </w:rPr>
      </w:pPr>
      <w:r w:rsidRPr="00A33A94">
        <w:rPr>
          <w:rFonts w:cs="Arial"/>
          <w:b/>
          <w:sz w:val="26"/>
          <w:szCs w:val="28"/>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711"/>
        <w:gridCol w:w="2057"/>
      </w:tblGrid>
      <w:tr w:rsidR="005351FA" w:rsidRPr="00856DE7" w14:paraId="65BAD31B" w14:textId="77777777" w:rsidTr="16B221C5">
        <w:tc>
          <w:tcPr>
            <w:tcW w:w="2088" w:type="dxa"/>
          </w:tcPr>
          <w:p w14:paraId="252E6DD5" w14:textId="77777777" w:rsidR="005351FA" w:rsidRPr="00856DE7" w:rsidRDefault="005351FA" w:rsidP="00615D2B">
            <w:pPr>
              <w:spacing w:before="60" w:after="60"/>
              <w:jc w:val="left"/>
              <w:rPr>
                <w:rFonts w:cs="Arial"/>
                <w:szCs w:val="22"/>
              </w:rPr>
            </w:pPr>
            <w:r w:rsidRPr="00856DE7">
              <w:rPr>
                <w:rFonts w:cs="Arial"/>
                <w:b/>
                <w:szCs w:val="22"/>
              </w:rPr>
              <w:t>Type</w:t>
            </w:r>
            <w:r w:rsidRPr="00856DE7">
              <w:rPr>
                <w:rFonts w:cs="Arial"/>
                <w:szCs w:val="22"/>
              </w:rPr>
              <w:t xml:space="preserve"> </w:t>
            </w:r>
          </w:p>
        </w:tc>
        <w:tc>
          <w:tcPr>
            <w:tcW w:w="6768" w:type="dxa"/>
            <w:gridSpan w:val="2"/>
            <w:vAlign w:val="center"/>
          </w:tcPr>
          <w:p w14:paraId="01383E4D" w14:textId="77777777" w:rsidR="00101BBD" w:rsidRPr="00856DE7" w:rsidRDefault="00615D2B" w:rsidP="007C66C9">
            <w:pPr>
              <w:spacing w:before="60" w:after="60"/>
              <w:jc w:val="left"/>
              <w:rPr>
                <w:rFonts w:cs="Arial"/>
                <w:szCs w:val="22"/>
              </w:rPr>
            </w:pPr>
            <w:r>
              <w:rPr>
                <w:rFonts w:cs="Arial"/>
                <w:szCs w:val="22"/>
              </w:rPr>
              <w:t>Policy</w:t>
            </w:r>
          </w:p>
        </w:tc>
      </w:tr>
      <w:tr w:rsidR="005351FA" w:rsidRPr="00856DE7" w14:paraId="6A532B6F" w14:textId="77777777" w:rsidTr="16B221C5">
        <w:tc>
          <w:tcPr>
            <w:tcW w:w="2088" w:type="dxa"/>
          </w:tcPr>
          <w:p w14:paraId="4B41A96C" w14:textId="77777777" w:rsidR="005351FA" w:rsidRPr="00856DE7" w:rsidRDefault="005351FA" w:rsidP="00615D2B">
            <w:pPr>
              <w:spacing w:before="60" w:after="60"/>
              <w:rPr>
                <w:rFonts w:cs="Arial"/>
                <w:b/>
                <w:szCs w:val="22"/>
              </w:rPr>
            </w:pPr>
            <w:r w:rsidRPr="00856DE7">
              <w:rPr>
                <w:rFonts w:cs="Arial"/>
                <w:b/>
                <w:szCs w:val="22"/>
              </w:rPr>
              <w:t>Title</w:t>
            </w:r>
          </w:p>
        </w:tc>
        <w:tc>
          <w:tcPr>
            <w:tcW w:w="6768" w:type="dxa"/>
            <w:gridSpan w:val="2"/>
            <w:vAlign w:val="center"/>
          </w:tcPr>
          <w:p w14:paraId="310D67C8" w14:textId="28A6FD6D" w:rsidR="005351FA" w:rsidRPr="00856DE7" w:rsidRDefault="006302D8" w:rsidP="007C66C9">
            <w:pPr>
              <w:spacing w:before="60" w:after="60"/>
              <w:jc w:val="left"/>
              <w:rPr>
                <w:rFonts w:cs="Arial"/>
                <w:szCs w:val="22"/>
              </w:rPr>
            </w:pPr>
            <w:r>
              <w:rPr>
                <w:rFonts w:cs="Arial"/>
                <w:szCs w:val="22"/>
              </w:rPr>
              <w:t>Injectable Medicines Policy for Children and Young People</w:t>
            </w:r>
          </w:p>
        </w:tc>
      </w:tr>
      <w:tr w:rsidR="005351FA" w:rsidRPr="00856DE7" w14:paraId="7AAE2636" w14:textId="77777777" w:rsidTr="16B221C5">
        <w:tc>
          <w:tcPr>
            <w:tcW w:w="2088" w:type="dxa"/>
          </w:tcPr>
          <w:p w14:paraId="13B641FB" w14:textId="77777777" w:rsidR="005351FA" w:rsidRPr="00856DE7" w:rsidRDefault="005351FA" w:rsidP="00615D2B">
            <w:pPr>
              <w:spacing w:before="60" w:after="60"/>
              <w:rPr>
                <w:rFonts w:cs="Arial"/>
                <w:b/>
                <w:szCs w:val="22"/>
              </w:rPr>
            </w:pPr>
            <w:r w:rsidRPr="00856DE7">
              <w:rPr>
                <w:rFonts w:cs="Arial"/>
                <w:b/>
                <w:szCs w:val="22"/>
              </w:rPr>
              <w:t>Author</w:t>
            </w:r>
          </w:p>
        </w:tc>
        <w:tc>
          <w:tcPr>
            <w:tcW w:w="6768" w:type="dxa"/>
            <w:gridSpan w:val="2"/>
            <w:vAlign w:val="center"/>
          </w:tcPr>
          <w:p w14:paraId="520DE8F0" w14:textId="1D2A77D5" w:rsidR="00101BBD" w:rsidRPr="00856DE7" w:rsidRDefault="4A08E879" w:rsidP="16B221C5">
            <w:pPr>
              <w:spacing w:before="60" w:after="60"/>
              <w:jc w:val="left"/>
              <w:rPr>
                <w:rFonts w:cs="Arial"/>
              </w:rPr>
            </w:pPr>
            <w:r w:rsidRPr="16B221C5">
              <w:rPr>
                <w:rFonts w:cs="Arial"/>
              </w:rPr>
              <w:t>Updated L</w:t>
            </w:r>
            <w:r w:rsidR="00BB5840" w:rsidRPr="16B221C5">
              <w:rPr>
                <w:rFonts w:cs="Arial"/>
              </w:rPr>
              <w:t>yn Vidler</w:t>
            </w:r>
          </w:p>
        </w:tc>
      </w:tr>
      <w:tr w:rsidR="005351FA" w:rsidRPr="00856DE7" w14:paraId="0C097324" w14:textId="77777777" w:rsidTr="16B221C5">
        <w:tc>
          <w:tcPr>
            <w:tcW w:w="6799" w:type="dxa"/>
            <w:gridSpan w:val="2"/>
          </w:tcPr>
          <w:p w14:paraId="05FCDC75" w14:textId="77777777" w:rsidR="00615D2B" w:rsidRDefault="005351FA" w:rsidP="00615D2B">
            <w:pPr>
              <w:spacing w:before="60" w:after="60"/>
              <w:rPr>
                <w:rFonts w:cs="Arial"/>
                <w:b/>
                <w:szCs w:val="22"/>
              </w:rPr>
            </w:pPr>
            <w:r w:rsidRPr="00856DE7">
              <w:rPr>
                <w:rFonts w:cs="Arial"/>
                <w:b/>
                <w:szCs w:val="22"/>
              </w:rPr>
              <w:t>Category</w:t>
            </w:r>
          </w:p>
          <w:p w14:paraId="50A22B47" w14:textId="41DD24FA" w:rsidR="005351FA" w:rsidRPr="00856DE7" w:rsidRDefault="00C8393C" w:rsidP="00615D2B">
            <w:pPr>
              <w:spacing w:before="60" w:after="60"/>
              <w:rPr>
                <w:rFonts w:cs="Arial"/>
                <w:szCs w:val="22"/>
              </w:rPr>
            </w:pPr>
            <w:r>
              <w:rPr>
                <w:rFonts w:cs="Arial"/>
                <w:sz w:val="18"/>
                <w:szCs w:val="18"/>
              </w:rPr>
              <w:t>Clinical / Corporate / E</w:t>
            </w:r>
            <w:r w:rsidR="00942F86" w:rsidRPr="00856DE7">
              <w:rPr>
                <w:rFonts w:cs="Arial"/>
                <w:sz w:val="18"/>
                <w:szCs w:val="18"/>
              </w:rPr>
              <w:t>ducation / Health &amp; Safety / H</w:t>
            </w:r>
            <w:r w:rsidR="007C66C9">
              <w:rPr>
                <w:rFonts w:cs="Arial"/>
                <w:sz w:val="18"/>
                <w:szCs w:val="18"/>
              </w:rPr>
              <w:t xml:space="preserve">uman </w:t>
            </w:r>
            <w:r w:rsidR="00942F86" w:rsidRPr="00856DE7">
              <w:rPr>
                <w:rFonts w:cs="Arial"/>
                <w:sz w:val="18"/>
                <w:szCs w:val="18"/>
              </w:rPr>
              <w:t>R</w:t>
            </w:r>
            <w:r w:rsidR="007C66C9">
              <w:rPr>
                <w:rFonts w:cs="Arial"/>
                <w:sz w:val="18"/>
                <w:szCs w:val="18"/>
              </w:rPr>
              <w:t>esources</w:t>
            </w:r>
            <w:r w:rsidR="00942F86" w:rsidRPr="00856DE7">
              <w:rPr>
                <w:rFonts w:cs="Arial"/>
                <w:sz w:val="18"/>
                <w:szCs w:val="18"/>
              </w:rPr>
              <w:t xml:space="preserve"> / Info</w:t>
            </w:r>
            <w:r w:rsidR="00615D2B">
              <w:rPr>
                <w:rFonts w:cs="Arial"/>
                <w:sz w:val="18"/>
                <w:szCs w:val="18"/>
              </w:rPr>
              <w:t>rmation</w:t>
            </w:r>
            <w:r w:rsidR="00942F86" w:rsidRPr="00856DE7">
              <w:rPr>
                <w:rFonts w:cs="Arial"/>
                <w:sz w:val="18"/>
                <w:szCs w:val="18"/>
              </w:rPr>
              <w:t xml:space="preserve"> Governance</w:t>
            </w:r>
          </w:p>
        </w:tc>
        <w:tc>
          <w:tcPr>
            <w:tcW w:w="2057" w:type="dxa"/>
            <w:vAlign w:val="center"/>
          </w:tcPr>
          <w:p w14:paraId="78631429" w14:textId="482929F1" w:rsidR="00101BBD" w:rsidRPr="00856DE7" w:rsidRDefault="00BB5840" w:rsidP="00DE0B38">
            <w:pPr>
              <w:spacing w:before="60" w:after="60"/>
              <w:jc w:val="center"/>
              <w:rPr>
                <w:rFonts w:cs="Arial"/>
                <w:szCs w:val="22"/>
              </w:rPr>
            </w:pPr>
            <w:r>
              <w:rPr>
                <w:rFonts w:cs="Arial"/>
                <w:szCs w:val="22"/>
              </w:rPr>
              <w:t>Clinical</w:t>
            </w:r>
          </w:p>
        </w:tc>
      </w:tr>
      <w:tr w:rsidR="00615D2B" w:rsidRPr="00856DE7" w14:paraId="604B3626" w14:textId="77777777" w:rsidTr="16B221C5">
        <w:tc>
          <w:tcPr>
            <w:tcW w:w="6799" w:type="dxa"/>
            <w:gridSpan w:val="2"/>
          </w:tcPr>
          <w:p w14:paraId="6192E47F" w14:textId="77777777" w:rsidR="00615D2B" w:rsidRPr="00615D2B" w:rsidRDefault="00615D2B" w:rsidP="00615D2B">
            <w:pPr>
              <w:spacing w:before="60" w:after="60"/>
              <w:rPr>
                <w:rFonts w:cs="Arial"/>
                <w:b/>
                <w:szCs w:val="22"/>
              </w:rPr>
            </w:pPr>
            <w:r w:rsidRPr="00615D2B">
              <w:rPr>
                <w:rFonts w:cs="Arial"/>
                <w:b/>
                <w:szCs w:val="22"/>
              </w:rPr>
              <w:t xml:space="preserve">Date approved by </w:t>
            </w:r>
            <w:proofErr w:type="spellStart"/>
            <w:r w:rsidRPr="00615D2B">
              <w:rPr>
                <w:rFonts w:cs="Arial"/>
                <w:b/>
                <w:szCs w:val="22"/>
              </w:rPr>
              <w:t>Organisational</w:t>
            </w:r>
            <w:proofErr w:type="spellEnd"/>
            <w:r w:rsidRPr="00615D2B">
              <w:rPr>
                <w:rFonts w:cs="Arial"/>
                <w:b/>
                <w:szCs w:val="22"/>
              </w:rPr>
              <w:t xml:space="preserve"> Governance Approval Group</w:t>
            </w:r>
          </w:p>
        </w:tc>
        <w:tc>
          <w:tcPr>
            <w:tcW w:w="2057" w:type="dxa"/>
            <w:vAlign w:val="center"/>
          </w:tcPr>
          <w:p w14:paraId="5B54D3B9" w14:textId="23447E59" w:rsidR="00615D2B" w:rsidRPr="00856DE7" w:rsidRDefault="00A636DC" w:rsidP="00DE0B38">
            <w:pPr>
              <w:spacing w:before="60" w:after="60"/>
              <w:jc w:val="center"/>
              <w:rPr>
                <w:rFonts w:cs="Arial"/>
                <w:szCs w:val="22"/>
              </w:rPr>
            </w:pPr>
            <w:r>
              <w:rPr>
                <w:rFonts w:cs="Arial"/>
                <w:szCs w:val="22"/>
              </w:rPr>
              <w:t>0</w:t>
            </w:r>
            <w:r w:rsidR="009A53F4">
              <w:rPr>
                <w:rFonts w:cs="Arial"/>
                <w:szCs w:val="22"/>
              </w:rPr>
              <w:t>2</w:t>
            </w:r>
            <w:r>
              <w:rPr>
                <w:rFonts w:cs="Arial"/>
                <w:szCs w:val="22"/>
              </w:rPr>
              <w:t>/07/25</w:t>
            </w:r>
          </w:p>
        </w:tc>
      </w:tr>
      <w:tr w:rsidR="00615D2B" w:rsidRPr="00856DE7" w14:paraId="3962734B" w14:textId="77777777" w:rsidTr="16B221C5">
        <w:tc>
          <w:tcPr>
            <w:tcW w:w="6799" w:type="dxa"/>
            <w:gridSpan w:val="2"/>
          </w:tcPr>
          <w:p w14:paraId="406936C2" w14:textId="77777777" w:rsidR="00615D2B" w:rsidRPr="00856DE7" w:rsidRDefault="00615D2B" w:rsidP="00615D2B">
            <w:pPr>
              <w:spacing w:before="60" w:after="60"/>
              <w:rPr>
                <w:rFonts w:cs="Arial"/>
                <w:b/>
                <w:szCs w:val="22"/>
              </w:rPr>
            </w:pPr>
            <w:r>
              <w:rPr>
                <w:rFonts w:cs="Arial"/>
                <w:b/>
                <w:szCs w:val="22"/>
              </w:rPr>
              <w:t>Date approved by Chief Executive Officer</w:t>
            </w:r>
          </w:p>
        </w:tc>
        <w:tc>
          <w:tcPr>
            <w:tcW w:w="2057" w:type="dxa"/>
            <w:vAlign w:val="center"/>
          </w:tcPr>
          <w:p w14:paraId="1F6679FC" w14:textId="1529A1C0" w:rsidR="00615D2B" w:rsidRPr="00856DE7" w:rsidRDefault="0068770A" w:rsidP="00DE0B38">
            <w:pPr>
              <w:spacing w:before="60" w:after="60"/>
              <w:jc w:val="center"/>
              <w:rPr>
                <w:rFonts w:cs="Arial"/>
                <w:szCs w:val="22"/>
              </w:rPr>
            </w:pPr>
            <w:r>
              <w:rPr>
                <w:rFonts w:cs="Arial"/>
                <w:szCs w:val="22"/>
              </w:rPr>
              <w:t>04/07/25</w:t>
            </w:r>
          </w:p>
        </w:tc>
      </w:tr>
      <w:tr w:rsidR="00615D2B" w:rsidRPr="00856DE7" w14:paraId="6A5A6B62" w14:textId="77777777" w:rsidTr="16B221C5">
        <w:tc>
          <w:tcPr>
            <w:tcW w:w="2088" w:type="dxa"/>
          </w:tcPr>
          <w:p w14:paraId="10EDC74F" w14:textId="77777777" w:rsidR="00615D2B" w:rsidRPr="00856DE7" w:rsidRDefault="00615D2B" w:rsidP="00615D2B">
            <w:pPr>
              <w:spacing w:before="60" w:after="60"/>
              <w:rPr>
                <w:rFonts w:cs="Arial"/>
                <w:b/>
                <w:szCs w:val="22"/>
              </w:rPr>
            </w:pPr>
            <w:r w:rsidRPr="00856DE7">
              <w:rPr>
                <w:rFonts w:cs="Arial"/>
                <w:b/>
                <w:szCs w:val="22"/>
              </w:rPr>
              <w:t>Review date</w:t>
            </w:r>
          </w:p>
        </w:tc>
        <w:tc>
          <w:tcPr>
            <w:tcW w:w="6768" w:type="dxa"/>
            <w:gridSpan w:val="2"/>
          </w:tcPr>
          <w:p w14:paraId="0D03EAFC" w14:textId="6C33B2C4" w:rsidR="00615D2B" w:rsidRPr="00856DE7" w:rsidRDefault="00615D2B" w:rsidP="00615D2B">
            <w:pPr>
              <w:spacing w:before="60" w:after="60"/>
              <w:rPr>
                <w:rFonts w:cs="Arial"/>
                <w:szCs w:val="22"/>
              </w:rPr>
            </w:pPr>
            <w:r w:rsidRPr="00BB5840">
              <w:rPr>
                <w:rFonts w:cs="Arial"/>
                <w:szCs w:val="22"/>
              </w:rPr>
              <w:t>3 years from approval</w:t>
            </w:r>
          </w:p>
        </w:tc>
      </w:tr>
      <w:tr w:rsidR="00615D2B" w:rsidRPr="00856DE7" w14:paraId="482F43D0" w14:textId="77777777" w:rsidTr="16B221C5">
        <w:tc>
          <w:tcPr>
            <w:tcW w:w="2088" w:type="dxa"/>
          </w:tcPr>
          <w:p w14:paraId="29D68464" w14:textId="77777777" w:rsidR="00615D2B" w:rsidRPr="00856DE7" w:rsidRDefault="00615D2B" w:rsidP="00615D2B">
            <w:pPr>
              <w:spacing w:before="60" w:after="60"/>
              <w:rPr>
                <w:rFonts w:cs="Arial"/>
                <w:szCs w:val="22"/>
              </w:rPr>
            </w:pPr>
            <w:r w:rsidRPr="00856DE7">
              <w:rPr>
                <w:rFonts w:cs="Arial"/>
                <w:b/>
                <w:szCs w:val="23"/>
              </w:rPr>
              <w:t>Document Status</w:t>
            </w:r>
          </w:p>
        </w:tc>
        <w:tc>
          <w:tcPr>
            <w:tcW w:w="6768" w:type="dxa"/>
            <w:gridSpan w:val="2"/>
          </w:tcPr>
          <w:p w14:paraId="25A1B87C" w14:textId="3B30D6B9" w:rsidR="00615D2B" w:rsidRPr="00856DE7" w:rsidRDefault="00615D2B" w:rsidP="16B221C5">
            <w:pPr>
              <w:spacing w:before="60" w:after="60"/>
              <w:rPr>
                <w:rFonts w:cs="Arial"/>
              </w:rPr>
            </w:pPr>
            <w:r w:rsidRPr="16B221C5">
              <w:rPr>
                <w:rFonts w:cs="Arial"/>
              </w:rPr>
              <w:t xml:space="preserve">This is a controlled document. </w:t>
            </w:r>
            <w:r w:rsidR="00E20B52" w:rsidRPr="16B221C5">
              <w:rPr>
                <w:rFonts w:cs="Arial"/>
              </w:rPr>
              <w:t xml:space="preserve"> </w:t>
            </w:r>
            <w:r w:rsidRPr="16B221C5">
              <w:rPr>
                <w:rFonts w:cs="Arial"/>
              </w:rPr>
              <w:t xml:space="preserve">Whilst this document may be printed, the electronic version posted on the intranet is the controlled copy. </w:t>
            </w:r>
            <w:proofErr w:type="gramStart"/>
            <w:r w:rsidRPr="16B221C5">
              <w:rPr>
                <w:rFonts w:cs="Arial"/>
              </w:rPr>
              <w:t>Any</w:t>
            </w:r>
            <w:proofErr w:type="gramEnd"/>
            <w:r w:rsidR="362E5BFC" w:rsidRPr="16B221C5">
              <w:rPr>
                <w:rFonts w:cs="Arial"/>
              </w:rPr>
              <w:t xml:space="preserve"> </w:t>
            </w:r>
            <w:r w:rsidRPr="16B221C5">
              <w:rPr>
                <w:rFonts w:cs="Arial"/>
              </w:rPr>
              <w:t xml:space="preserve">printed copies of this document </w:t>
            </w:r>
            <w:proofErr w:type="gramStart"/>
            <w:r w:rsidRPr="16B221C5">
              <w:rPr>
                <w:rFonts w:cs="Arial"/>
              </w:rPr>
              <w:t>are not</w:t>
            </w:r>
            <w:proofErr w:type="gramEnd"/>
            <w:r w:rsidRPr="16B221C5">
              <w:rPr>
                <w:rFonts w:cs="Arial"/>
              </w:rPr>
              <w:t xml:space="preserve"> </w:t>
            </w:r>
            <w:proofErr w:type="gramStart"/>
            <w:r w:rsidRPr="16B221C5">
              <w:rPr>
                <w:rFonts w:cs="Arial"/>
              </w:rPr>
              <w:t>controlled</w:t>
            </w:r>
            <w:proofErr w:type="gramEnd"/>
            <w:r w:rsidRPr="16B221C5">
              <w:rPr>
                <w:rFonts w:cs="Arial"/>
              </w:rPr>
              <w:t>. As a controlled document, this document should not be saved onto local or network drives but should always be accessed from the intranet.</w:t>
            </w:r>
          </w:p>
        </w:tc>
      </w:tr>
    </w:tbl>
    <w:p w14:paraId="58496970" w14:textId="77777777" w:rsidR="005351FA" w:rsidRPr="00A33A94" w:rsidRDefault="00615D2B" w:rsidP="00A33A94">
      <w:pPr>
        <w:spacing w:before="360" w:after="120"/>
        <w:rPr>
          <w:rFonts w:cs="Arial"/>
          <w:b/>
          <w:sz w:val="26"/>
          <w:szCs w:val="28"/>
        </w:rPr>
      </w:pPr>
      <w:r w:rsidRPr="00A33A94">
        <w:rPr>
          <w:rFonts w:cs="Arial"/>
          <w:b/>
          <w:sz w:val="26"/>
          <w:szCs w:val="28"/>
        </w:rPr>
        <w:t>Version Control/Changes M</w:t>
      </w:r>
      <w:r w:rsidR="00AE0BDD" w:rsidRPr="00A33A94">
        <w:rPr>
          <w:rFonts w:cs="Arial"/>
          <w:b/>
          <w:sz w:val="26"/>
          <w:szCs w:val="28"/>
        </w:rPr>
        <w:t>ade</w:t>
      </w:r>
    </w:p>
    <w:tbl>
      <w:tblPr>
        <w:tblStyle w:val="TableGrid"/>
        <w:tblW w:w="0" w:type="auto"/>
        <w:tblLook w:val="04A0" w:firstRow="1" w:lastRow="0" w:firstColumn="1" w:lastColumn="0" w:noHBand="0" w:noVBand="1"/>
      </w:tblPr>
      <w:tblGrid>
        <w:gridCol w:w="1229"/>
        <w:gridCol w:w="1034"/>
        <w:gridCol w:w="4962"/>
        <w:gridCol w:w="1559"/>
      </w:tblGrid>
      <w:tr w:rsidR="00A40293" w:rsidRPr="00856DE7" w14:paraId="23A59E15" w14:textId="77777777" w:rsidTr="00A636DC">
        <w:tc>
          <w:tcPr>
            <w:tcW w:w="1229" w:type="dxa"/>
            <w:shd w:val="clear" w:color="auto" w:fill="BFBFBF" w:themeFill="background1" w:themeFillShade="BF"/>
            <w:vAlign w:val="center"/>
          </w:tcPr>
          <w:p w14:paraId="135ED697" w14:textId="77777777" w:rsidR="00A40293" w:rsidRPr="00A33A94" w:rsidRDefault="00A40293" w:rsidP="007C66C9">
            <w:pPr>
              <w:spacing w:before="60" w:after="60"/>
              <w:jc w:val="center"/>
              <w:rPr>
                <w:rFonts w:cs="Arial"/>
                <w:b/>
              </w:rPr>
            </w:pPr>
            <w:r w:rsidRPr="00A33A94">
              <w:rPr>
                <w:rFonts w:cs="Arial"/>
                <w:b/>
              </w:rPr>
              <w:t>Date</w:t>
            </w:r>
          </w:p>
        </w:tc>
        <w:tc>
          <w:tcPr>
            <w:tcW w:w="1034" w:type="dxa"/>
            <w:shd w:val="clear" w:color="auto" w:fill="BFBFBF" w:themeFill="background1" w:themeFillShade="BF"/>
            <w:vAlign w:val="center"/>
          </w:tcPr>
          <w:p w14:paraId="385B1DB9" w14:textId="7C7C4606" w:rsidR="00A40293" w:rsidRPr="00A33A94" w:rsidRDefault="00A40293" w:rsidP="007C66C9">
            <w:pPr>
              <w:spacing w:before="60" w:after="60"/>
              <w:jc w:val="center"/>
              <w:rPr>
                <w:rFonts w:cs="Arial"/>
                <w:b/>
              </w:rPr>
            </w:pPr>
            <w:r w:rsidRPr="00A33A94">
              <w:rPr>
                <w:rFonts w:cs="Arial"/>
                <w:b/>
              </w:rPr>
              <w:t>Version</w:t>
            </w:r>
          </w:p>
        </w:tc>
        <w:tc>
          <w:tcPr>
            <w:tcW w:w="4962" w:type="dxa"/>
            <w:shd w:val="clear" w:color="auto" w:fill="BFBFBF" w:themeFill="background1" w:themeFillShade="BF"/>
            <w:vAlign w:val="center"/>
          </w:tcPr>
          <w:p w14:paraId="1A9004E5" w14:textId="77777777" w:rsidR="00A40293" w:rsidRPr="00A33A94" w:rsidRDefault="00A40293" w:rsidP="007C66C9">
            <w:pPr>
              <w:spacing w:before="60" w:after="60"/>
              <w:jc w:val="center"/>
              <w:rPr>
                <w:rFonts w:cs="Arial"/>
                <w:b/>
              </w:rPr>
            </w:pPr>
            <w:r w:rsidRPr="00A33A94">
              <w:rPr>
                <w:rFonts w:cs="Arial"/>
                <w:b/>
              </w:rPr>
              <w:t>Summary of changes</w:t>
            </w:r>
          </w:p>
        </w:tc>
        <w:tc>
          <w:tcPr>
            <w:tcW w:w="1559" w:type="dxa"/>
            <w:shd w:val="clear" w:color="auto" w:fill="BFBFBF" w:themeFill="background1" w:themeFillShade="BF"/>
            <w:vAlign w:val="center"/>
          </w:tcPr>
          <w:p w14:paraId="221891FF" w14:textId="77777777" w:rsidR="00A40293" w:rsidRPr="00A33A94" w:rsidRDefault="00A40293" w:rsidP="007C66C9">
            <w:pPr>
              <w:spacing w:before="60" w:after="60"/>
              <w:jc w:val="center"/>
              <w:rPr>
                <w:rFonts w:cs="Arial"/>
                <w:b/>
              </w:rPr>
            </w:pPr>
            <w:r w:rsidRPr="00A33A94">
              <w:rPr>
                <w:rFonts w:cs="Arial"/>
                <w:b/>
              </w:rPr>
              <w:t>Author</w:t>
            </w:r>
          </w:p>
        </w:tc>
      </w:tr>
      <w:tr w:rsidR="00A40293" w:rsidRPr="00856DE7" w14:paraId="58815506" w14:textId="77777777" w:rsidTr="00A636DC">
        <w:tc>
          <w:tcPr>
            <w:tcW w:w="1229" w:type="dxa"/>
            <w:vAlign w:val="center"/>
          </w:tcPr>
          <w:p w14:paraId="23AE592F" w14:textId="45B83D2C" w:rsidR="00A40293" w:rsidRPr="00856DE7" w:rsidRDefault="002C6BE1" w:rsidP="00615D2B">
            <w:pPr>
              <w:spacing w:before="60" w:after="60"/>
              <w:jc w:val="center"/>
              <w:rPr>
                <w:rFonts w:cs="Arial"/>
              </w:rPr>
            </w:pPr>
            <w:r>
              <w:rPr>
                <w:rFonts w:cs="Arial"/>
              </w:rPr>
              <w:t>2021</w:t>
            </w:r>
          </w:p>
        </w:tc>
        <w:tc>
          <w:tcPr>
            <w:tcW w:w="1034" w:type="dxa"/>
            <w:vAlign w:val="center"/>
          </w:tcPr>
          <w:p w14:paraId="72A01379" w14:textId="480FA922" w:rsidR="00A40293" w:rsidRPr="00856DE7" w:rsidRDefault="002C6BE1" w:rsidP="00615D2B">
            <w:pPr>
              <w:spacing w:before="60" w:after="60"/>
              <w:jc w:val="center"/>
              <w:rPr>
                <w:rFonts w:cs="Arial"/>
              </w:rPr>
            </w:pPr>
            <w:r>
              <w:rPr>
                <w:rFonts w:cs="Arial"/>
              </w:rPr>
              <w:t>1</w:t>
            </w:r>
          </w:p>
        </w:tc>
        <w:tc>
          <w:tcPr>
            <w:tcW w:w="4962" w:type="dxa"/>
          </w:tcPr>
          <w:p w14:paraId="0217FA07" w14:textId="71F9EDA1" w:rsidR="00A40293" w:rsidRPr="00856DE7" w:rsidRDefault="002C6BE1" w:rsidP="00615D2B">
            <w:pPr>
              <w:spacing w:before="60" w:after="60"/>
              <w:rPr>
                <w:rFonts w:cs="Arial"/>
              </w:rPr>
            </w:pPr>
            <w:r>
              <w:rPr>
                <w:rFonts w:cs="Arial"/>
              </w:rPr>
              <w:t>New policy – adapted from the Family Nursing &amp; Home Care Injectable Medicines Policy for Adults</w:t>
            </w:r>
          </w:p>
        </w:tc>
        <w:tc>
          <w:tcPr>
            <w:tcW w:w="1559" w:type="dxa"/>
          </w:tcPr>
          <w:p w14:paraId="6CDF95C3" w14:textId="77777777" w:rsidR="00A40293" w:rsidRPr="00856DE7" w:rsidRDefault="00A40293" w:rsidP="00615D2B">
            <w:pPr>
              <w:spacing w:before="60" w:after="60"/>
              <w:rPr>
                <w:rFonts w:cs="Arial"/>
              </w:rPr>
            </w:pPr>
          </w:p>
        </w:tc>
      </w:tr>
      <w:tr w:rsidR="00A40293" w:rsidRPr="00856DE7" w14:paraId="2D02D3E4" w14:textId="77777777" w:rsidTr="00A636DC">
        <w:tc>
          <w:tcPr>
            <w:tcW w:w="1229" w:type="dxa"/>
            <w:vAlign w:val="center"/>
          </w:tcPr>
          <w:p w14:paraId="74A7A968" w14:textId="7B920D3C" w:rsidR="00A40293" w:rsidRPr="00856DE7" w:rsidRDefault="002C6BE1" w:rsidP="00615D2B">
            <w:pPr>
              <w:spacing w:before="60" w:after="60"/>
              <w:jc w:val="center"/>
              <w:rPr>
                <w:rFonts w:cs="Arial"/>
              </w:rPr>
            </w:pPr>
            <w:r>
              <w:rPr>
                <w:rFonts w:cs="Arial"/>
              </w:rPr>
              <w:t>Sept 2022</w:t>
            </w:r>
          </w:p>
        </w:tc>
        <w:tc>
          <w:tcPr>
            <w:tcW w:w="1034" w:type="dxa"/>
            <w:vAlign w:val="center"/>
          </w:tcPr>
          <w:p w14:paraId="5F1B0001" w14:textId="43195203" w:rsidR="00A40293" w:rsidRPr="00856DE7" w:rsidRDefault="002C6BE1" w:rsidP="00615D2B">
            <w:pPr>
              <w:spacing w:before="60" w:after="60"/>
              <w:jc w:val="center"/>
              <w:rPr>
                <w:rFonts w:cs="Arial"/>
              </w:rPr>
            </w:pPr>
            <w:r>
              <w:rPr>
                <w:rFonts w:cs="Arial"/>
              </w:rPr>
              <w:t>1.1</w:t>
            </w:r>
          </w:p>
        </w:tc>
        <w:tc>
          <w:tcPr>
            <w:tcW w:w="4962" w:type="dxa"/>
          </w:tcPr>
          <w:p w14:paraId="29DBFEB5" w14:textId="39CF5DFE" w:rsidR="00A40293" w:rsidRPr="00856DE7" w:rsidRDefault="00911816" w:rsidP="00615D2B">
            <w:pPr>
              <w:spacing w:before="60" w:after="60"/>
              <w:rPr>
                <w:rFonts w:cs="Arial"/>
              </w:rPr>
            </w:pPr>
            <w:r>
              <w:rPr>
                <w:rFonts w:cs="Arial"/>
              </w:rPr>
              <w:t>2.3.2: Amended to encompass revised scope of practice for pre-registration student</w:t>
            </w:r>
            <w:r w:rsidR="00E530FE">
              <w:rPr>
                <w:rFonts w:cs="Arial"/>
              </w:rPr>
              <w:t xml:space="preserve"> nurses, as per the Nursing and Midwifery Council ‘Future Nurse: Standard of proficiency for Regist</w:t>
            </w:r>
            <w:r w:rsidR="00D6425D">
              <w:rPr>
                <w:rFonts w:cs="Arial"/>
              </w:rPr>
              <w:t>ered Nurses’ (2018)</w:t>
            </w:r>
          </w:p>
        </w:tc>
        <w:tc>
          <w:tcPr>
            <w:tcW w:w="1559" w:type="dxa"/>
          </w:tcPr>
          <w:p w14:paraId="77C71F25" w14:textId="5E8EF9E0" w:rsidR="00A40293" w:rsidRPr="00856DE7" w:rsidRDefault="00D6425D" w:rsidP="00615D2B">
            <w:pPr>
              <w:spacing w:before="60" w:after="60"/>
              <w:rPr>
                <w:rFonts w:cs="Arial"/>
              </w:rPr>
            </w:pPr>
            <w:r>
              <w:rPr>
                <w:rFonts w:cs="Arial"/>
              </w:rPr>
              <w:t>Mo De Gruchy</w:t>
            </w:r>
          </w:p>
        </w:tc>
      </w:tr>
      <w:tr w:rsidR="00A40293" w:rsidRPr="00856DE7" w14:paraId="44739294" w14:textId="77777777" w:rsidTr="00A636DC">
        <w:tc>
          <w:tcPr>
            <w:tcW w:w="1229" w:type="dxa"/>
            <w:vAlign w:val="center"/>
          </w:tcPr>
          <w:p w14:paraId="608798A2" w14:textId="44D535EC" w:rsidR="00A40293" w:rsidRPr="00856DE7" w:rsidRDefault="00A636DC" w:rsidP="00615D2B">
            <w:pPr>
              <w:spacing w:before="60" w:after="60"/>
              <w:jc w:val="center"/>
              <w:rPr>
                <w:rFonts w:cs="Arial"/>
              </w:rPr>
            </w:pPr>
            <w:r>
              <w:rPr>
                <w:rFonts w:cs="Arial"/>
              </w:rPr>
              <w:t xml:space="preserve">July </w:t>
            </w:r>
            <w:r w:rsidR="568BD51B" w:rsidRPr="5F912627">
              <w:rPr>
                <w:rFonts w:cs="Arial"/>
              </w:rPr>
              <w:t>2025</w:t>
            </w:r>
          </w:p>
        </w:tc>
        <w:tc>
          <w:tcPr>
            <w:tcW w:w="1034" w:type="dxa"/>
            <w:vAlign w:val="center"/>
          </w:tcPr>
          <w:p w14:paraId="4CF771A4" w14:textId="31A17651" w:rsidR="00A40293" w:rsidRPr="00856DE7" w:rsidRDefault="00D6425D" w:rsidP="00615D2B">
            <w:pPr>
              <w:spacing w:before="60" w:after="60"/>
              <w:jc w:val="center"/>
              <w:rPr>
                <w:rFonts w:cs="Arial"/>
              </w:rPr>
            </w:pPr>
            <w:r>
              <w:rPr>
                <w:rFonts w:cs="Arial"/>
              </w:rPr>
              <w:t>2</w:t>
            </w:r>
          </w:p>
        </w:tc>
        <w:tc>
          <w:tcPr>
            <w:tcW w:w="4962" w:type="dxa"/>
          </w:tcPr>
          <w:p w14:paraId="7BBB39D4" w14:textId="77777777" w:rsidR="00A40293" w:rsidRDefault="00D6425D" w:rsidP="00530328">
            <w:r>
              <w:t>Whole document review.</w:t>
            </w:r>
          </w:p>
          <w:p w14:paraId="4BCF84E8" w14:textId="7FB9AA6B" w:rsidR="00D6425D" w:rsidRPr="00856DE7" w:rsidRDefault="00D6425D" w:rsidP="00530328">
            <w:r>
              <w:t xml:space="preserve">Reference </w:t>
            </w:r>
            <w:r w:rsidR="00530328">
              <w:t>l</w:t>
            </w:r>
            <w:r>
              <w:t>ist checked and updated as necessary</w:t>
            </w:r>
          </w:p>
        </w:tc>
        <w:tc>
          <w:tcPr>
            <w:tcW w:w="1559" w:type="dxa"/>
          </w:tcPr>
          <w:p w14:paraId="732A9A6F" w14:textId="509BED2E" w:rsidR="00A40293" w:rsidRPr="00856DE7" w:rsidRDefault="00D6425D" w:rsidP="00615D2B">
            <w:pPr>
              <w:spacing w:before="60" w:after="60"/>
              <w:rPr>
                <w:rFonts w:cs="Arial"/>
              </w:rPr>
            </w:pPr>
            <w:r>
              <w:rPr>
                <w:rFonts w:cs="Arial"/>
              </w:rPr>
              <w:t>Lyn Vidler</w:t>
            </w:r>
          </w:p>
        </w:tc>
      </w:tr>
    </w:tbl>
    <w:p w14:paraId="20CB1428" w14:textId="77777777" w:rsidR="005351FA" w:rsidRPr="00856DE7" w:rsidRDefault="005351FA" w:rsidP="005351FA">
      <w:pPr>
        <w:rPr>
          <w:rFonts w:cs="Arial"/>
        </w:rPr>
      </w:pPr>
    </w:p>
    <w:p w14:paraId="5043DEDB" w14:textId="77777777" w:rsidR="005351FA" w:rsidRPr="00856DE7" w:rsidRDefault="005351FA" w:rsidP="005351FA">
      <w:pPr>
        <w:rPr>
          <w:rFonts w:cs="Arial"/>
        </w:rPr>
      </w:pPr>
    </w:p>
    <w:p w14:paraId="56C95285" w14:textId="77777777" w:rsidR="005351FA" w:rsidRPr="00856DE7" w:rsidRDefault="005351FA" w:rsidP="005351FA">
      <w:pPr>
        <w:rPr>
          <w:rFonts w:cs="Arial"/>
        </w:rPr>
      </w:pPr>
    </w:p>
    <w:p w14:paraId="046FA5CA" w14:textId="77777777" w:rsidR="00856DE7" w:rsidRDefault="00856DE7" w:rsidP="005351FA">
      <w:pPr>
        <w:rPr>
          <w:rFonts w:cs="Arial"/>
        </w:rPr>
        <w:sectPr w:rsidR="00856DE7" w:rsidSect="002006AD">
          <w:headerReference w:type="first" r:id="rId14"/>
          <w:pgSz w:w="11906" w:h="16838"/>
          <w:pgMar w:top="1440" w:right="1440" w:bottom="1135" w:left="1440" w:header="708" w:footer="220" w:gutter="0"/>
          <w:cols w:space="708"/>
          <w:titlePg/>
          <w:docGrid w:linePitch="360"/>
        </w:sectPr>
      </w:pPr>
    </w:p>
    <w:sdt>
      <w:sdtPr>
        <w:rPr>
          <w:rFonts w:ascii="Arial" w:eastAsia="Times New Roman" w:hAnsi="Arial" w:cs="Arial"/>
          <w:color w:val="auto"/>
          <w:sz w:val="24"/>
          <w:szCs w:val="24"/>
        </w:rPr>
        <w:id w:val="799278464"/>
        <w:docPartObj>
          <w:docPartGallery w:val="Table of Contents"/>
          <w:docPartUnique/>
        </w:docPartObj>
      </w:sdtPr>
      <w:sdtEndPr>
        <w:rPr>
          <w:b/>
          <w:bCs/>
          <w:noProof/>
          <w:sz w:val="22"/>
          <w:szCs w:val="22"/>
        </w:rPr>
      </w:sdtEndPr>
      <w:sdtContent>
        <w:p w14:paraId="4A37F852" w14:textId="77777777" w:rsidR="00790710" w:rsidRPr="00856DE7" w:rsidRDefault="00D157E9">
          <w:pPr>
            <w:pStyle w:val="TOCHeading"/>
            <w:rPr>
              <w:rFonts w:ascii="Arial" w:hAnsi="Arial" w:cs="Arial"/>
              <w:b/>
              <w:color w:val="auto"/>
              <w:sz w:val="24"/>
              <w:szCs w:val="24"/>
            </w:rPr>
          </w:pPr>
          <w:r w:rsidRPr="00856DE7">
            <w:rPr>
              <w:rFonts w:ascii="Arial" w:hAnsi="Arial" w:cs="Arial"/>
              <w:b/>
              <w:color w:val="auto"/>
              <w:sz w:val="24"/>
              <w:szCs w:val="24"/>
            </w:rPr>
            <w:t>CONTENTS</w:t>
          </w:r>
        </w:p>
        <w:p w14:paraId="28866C96" w14:textId="04BB9DC3" w:rsidR="00170E7C" w:rsidRDefault="00790710">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r w:rsidRPr="00856DE7">
            <w:rPr>
              <w:rFonts w:cs="Arial"/>
              <w:b/>
              <w:bCs/>
              <w:noProof/>
            </w:rPr>
            <w:fldChar w:fldCharType="begin"/>
          </w:r>
          <w:r w:rsidRPr="00856DE7">
            <w:rPr>
              <w:rFonts w:cs="Arial"/>
              <w:b/>
              <w:bCs/>
              <w:noProof/>
            </w:rPr>
            <w:instrText xml:space="preserve"> TOC \o "1-3" \h \z \u </w:instrText>
          </w:r>
          <w:r w:rsidRPr="00856DE7">
            <w:rPr>
              <w:rFonts w:cs="Arial"/>
              <w:b/>
              <w:bCs/>
              <w:noProof/>
            </w:rPr>
            <w:fldChar w:fldCharType="separate"/>
          </w:r>
          <w:hyperlink w:anchor="_Toc202452431" w:history="1">
            <w:r w:rsidR="00170E7C" w:rsidRPr="005302B8">
              <w:rPr>
                <w:rStyle w:val="Hyperlink"/>
                <w:noProof/>
              </w:rPr>
              <w:t>1</w:t>
            </w:r>
            <w:r w:rsidR="00170E7C">
              <w:rPr>
                <w:rFonts w:asciiTheme="minorHAnsi" w:eastAsiaTheme="minorEastAsia" w:hAnsiTheme="minorHAnsi" w:cstheme="minorBidi"/>
                <w:noProof/>
                <w:kern w:val="2"/>
                <w:sz w:val="24"/>
                <w:lang w:val="en-GB" w:eastAsia="en-GB"/>
                <w14:ligatures w14:val="standardContextual"/>
              </w:rPr>
              <w:tab/>
            </w:r>
            <w:r w:rsidR="00170E7C" w:rsidRPr="005302B8">
              <w:rPr>
                <w:rStyle w:val="Hyperlink"/>
                <w:noProof/>
              </w:rPr>
              <w:t>INTRODUCTION</w:t>
            </w:r>
            <w:r w:rsidR="00170E7C">
              <w:rPr>
                <w:noProof/>
                <w:webHidden/>
              </w:rPr>
              <w:tab/>
            </w:r>
            <w:r w:rsidR="00170E7C">
              <w:rPr>
                <w:noProof/>
                <w:webHidden/>
              </w:rPr>
              <w:fldChar w:fldCharType="begin"/>
            </w:r>
            <w:r w:rsidR="00170E7C">
              <w:rPr>
                <w:noProof/>
                <w:webHidden/>
              </w:rPr>
              <w:instrText xml:space="preserve"> PAGEREF _Toc202452431 \h </w:instrText>
            </w:r>
            <w:r w:rsidR="00170E7C">
              <w:rPr>
                <w:noProof/>
                <w:webHidden/>
              </w:rPr>
            </w:r>
            <w:r w:rsidR="00170E7C">
              <w:rPr>
                <w:noProof/>
                <w:webHidden/>
              </w:rPr>
              <w:fldChar w:fldCharType="separate"/>
            </w:r>
            <w:r w:rsidR="00170E7C">
              <w:rPr>
                <w:noProof/>
                <w:webHidden/>
              </w:rPr>
              <w:t>5</w:t>
            </w:r>
            <w:r w:rsidR="00170E7C">
              <w:rPr>
                <w:noProof/>
                <w:webHidden/>
              </w:rPr>
              <w:fldChar w:fldCharType="end"/>
            </w:r>
          </w:hyperlink>
        </w:p>
        <w:p w14:paraId="48007881" w14:textId="18615023" w:rsidR="00170E7C" w:rsidRDefault="00170E7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32" w:history="1">
            <w:r w:rsidRPr="005302B8">
              <w:rPr>
                <w:rStyle w:val="Hyperlink"/>
                <w:noProof/>
              </w:rPr>
              <w:t>1.1</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Rationale</w:t>
            </w:r>
            <w:r>
              <w:rPr>
                <w:noProof/>
                <w:webHidden/>
              </w:rPr>
              <w:tab/>
            </w:r>
            <w:r>
              <w:rPr>
                <w:noProof/>
                <w:webHidden/>
              </w:rPr>
              <w:fldChar w:fldCharType="begin"/>
            </w:r>
            <w:r>
              <w:rPr>
                <w:noProof/>
                <w:webHidden/>
              </w:rPr>
              <w:instrText xml:space="preserve"> PAGEREF _Toc202452432 \h </w:instrText>
            </w:r>
            <w:r>
              <w:rPr>
                <w:noProof/>
                <w:webHidden/>
              </w:rPr>
            </w:r>
            <w:r>
              <w:rPr>
                <w:noProof/>
                <w:webHidden/>
              </w:rPr>
              <w:fldChar w:fldCharType="separate"/>
            </w:r>
            <w:r>
              <w:rPr>
                <w:noProof/>
                <w:webHidden/>
              </w:rPr>
              <w:t>5</w:t>
            </w:r>
            <w:r>
              <w:rPr>
                <w:noProof/>
                <w:webHidden/>
              </w:rPr>
              <w:fldChar w:fldCharType="end"/>
            </w:r>
          </w:hyperlink>
        </w:p>
        <w:p w14:paraId="551BC7AD" w14:textId="66976DA9" w:rsidR="00170E7C" w:rsidRDefault="00170E7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33" w:history="1">
            <w:r w:rsidRPr="005302B8">
              <w:rPr>
                <w:rStyle w:val="Hyperlink"/>
                <w:noProof/>
              </w:rPr>
              <w:t>1.2</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Scope</w:t>
            </w:r>
            <w:r>
              <w:rPr>
                <w:noProof/>
                <w:webHidden/>
              </w:rPr>
              <w:tab/>
            </w:r>
            <w:r>
              <w:rPr>
                <w:noProof/>
                <w:webHidden/>
              </w:rPr>
              <w:fldChar w:fldCharType="begin"/>
            </w:r>
            <w:r>
              <w:rPr>
                <w:noProof/>
                <w:webHidden/>
              </w:rPr>
              <w:instrText xml:space="preserve"> PAGEREF _Toc202452433 \h </w:instrText>
            </w:r>
            <w:r>
              <w:rPr>
                <w:noProof/>
                <w:webHidden/>
              </w:rPr>
            </w:r>
            <w:r>
              <w:rPr>
                <w:noProof/>
                <w:webHidden/>
              </w:rPr>
              <w:fldChar w:fldCharType="separate"/>
            </w:r>
            <w:r>
              <w:rPr>
                <w:noProof/>
                <w:webHidden/>
              </w:rPr>
              <w:t>5</w:t>
            </w:r>
            <w:r>
              <w:rPr>
                <w:noProof/>
                <w:webHidden/>
              </w:rPr>
              <w:fldChar w:fldCharType="end"/>
            </w:r>
          </w:hyperlink>
        </w:p>
        <w:p w14:paraId="25C81762" w14:textId="79FA4983" w:rsidR="00170E7C" w:rsidRDefault="00170E7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34" w:history="1">
            <w:r w:rsidRPr="005302B8">
              <w:rPr>
                <w:rStyle w:val="Hyperlink"/>
                <w:noProof/>
              </w:rPr>
              <w:t>1.3</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Role and Responsibilities</w:t>
            </w:r>
            <w:r>
              <w:rPr>
                <w:noProof/>
                <w:webHidden/>
              </w:rPr>
              <w:tab/>
            </w:r>
            <w:r>
              <w:rPr>
                <w:noProof/>
                <w:webHidden/>
              </w:rPr>
              <w:fldChar w:fldCharType="begin"/>
            </w:r>
            <w:r>
              <w:rPr>
                <w:noProof/>
                <w:webHidden/>
              </w:rPr>
              <w:instrText xml:space="preserve"> PAGEREF _Toc202452434 \h </w:instrText>
            </w:r>
            <w:r>
              <w:rPr>
                <w:noProof/>
                <w:webHidden/>
              </w:rPr>
            </w:r>
            <w:r>
              <w:rPr>
                <w:noProof/>
                <w:webHidden/>
              </w:rPr>
              <w:fldChar w:fldCharType="separate"/>
            </w:r>
            <w:r>
              <w:rPr>
                <w:noProof/>
                <w:webHidden/>
              </w:rPr>
              <w:t>5</w:t>
            </w:r>
            <w:r>
              <w:rPr>
                <w:noProof/>
                <w:webHidden/>
              </w:rPr>
              <w:fldChar w:fldCharType="end"/>
            </w:r>
          </w:hyperlink>
        </w:p>
        <w:p w14:paraId="0835D4C9" w14:textId="63D57DA8" w:rsidR="00170E7C" w:rsidRDefault="00170E7C">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35" w:history="1">
            <w:r w:rsidRPr="005302B8">
              <w:rPr>
                <w:rStyle w:val="Hyperlink"/>
                <w:noProof/>
              </w:rPr>
              <w:t>1.3.1</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The Chief Executive Officer (CEO)</w:t>
            </w:r>
            <w:r>
              <w:rPr>
                <w:noProof/>
                <w:webHidden/>
              </w:rPr>
              <w:tab/>
            </w:r>
            <w:r>
              <w:rPr>
                <w:noProof/>
                <w:webHidden/>
              </w:rPr>
              <w:fldChar w:fldCharType="begin"/>
            </w:r>
            <w:r>
              <w:rPr>
                <w:noProof/>
                <w:webHidden/>
              </w:rPr>
              <w:instrText xml:space="preserve"> PAGEREF _Toc202452435 \h </w:instrText>
            </w:r>
            <w:r>
              <w:rPr>
                <w:noProof/>
                <w:webHidden/>
              </w:rPr>
            </w:r>
            <w:r>
              <w:rPr>
                <w:noProof/>
                <w:webHidden/>
              </w:rPr>
              <w:fldChar w:fldCharType="separate"/>
            </w:r>
            <w:r>
              <w:rPr>
                <w:noProof/>
                <w:webHidden/>
              </w:rPr>
              <w:t>5</w:t>
            </w:r>
            <w:r>
              <w:rPr>
                <w:noProof/>
                <w:webHidden/>
              </w:rPr>
              <w:fldChar w:fldCharType="end"/>
            </w:r>
          </w:hyperlink>
        </w:p>
        <w:p w14:paraId="1430CFC1" w14:textId="1D96679B" w:rsidR="00170E7C" w:rsidRDefault="00170E7C">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36" w:history="1">
            <w:r w:rsidRPr="005302B8">
              <w:rPr>
                <w:rStyle w:val="Hyperlink"/>
                <w:noProof/>
              </w:rPr>
              <w:t>1.3.2</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Operational Lead</w:t>
            </w:r>
            <w:r>
              <w:rPr>
                <w:noProof/>
                <w:webHidden/>
              </w:rPr>
              <w:tab/>
            </w:r>
            <w:r>
              <w:rPr>
                <w:noProof/>
                <w:webHidden/>
              </w:rPr>
              <w:fldChar w:fldCharType="begin"/>
            </w:r>
            <w:r>
              <w:rPr>
                <w:noProof/>
                <w:webHidden/>
              </w:rPr>
              <w:instrText xml:space="preserve"> PAGEREF _Toc202452436 \h </w:instrText>
            </w:r>
            <w:r>
              <w:rPr>
                <w:noProof/>
                <w:webHidden/>
              </w:rPr>
            </w:r>
            <w:r>
              <w:rPr>
                <w:noProof/>
                <w:webHidden/>
              </w:rPr>
              <w:fldChar w:fldCharType="separate"/>
            </w:r>
            <w:r>
              <w:rPr>
                <w:noProof/>
                <w:webHidden/>
              </w:rPr>
              <w:t>6</w:t>
            </w:r>
            <w:r>
              <w:rPr>
                <w:noProof/>
                <w:webHidden/>
              </w:rPr>
              <w:fldChar w:fldCharType="end"/>
            </w:r>
          </w:hyperlink>
        </w:p>
        <w:p w14:paraId="2F9EE373" w14:textId="46F61AC9" w:rsidR="00170E7C" w:rsidRDefault="00170E7C">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37" w:history="1">
            <w:r w:rsidRPr="005302B8">
              <w:rPr>
                <w:rStyle w:val="Hyperlink"/>
                <w:noProof/>
              </w:rPr>
              <w:t>1.3.3</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Line Managers/Team Leaders</w:t>
            </w:r>
            <w:r>
              <w:rPr>
                <w:noProof/>
                <w:webHidden/>
              </w:rPr>
              <w:tab/>
            </w:r>
            <w:r>
              <w:rPr>
                <w:noProof/>
                <w:webHidden/>
              </w:rPr>
              <w:fldChar w:fldCharType="begin"/>
            </w:r>
            <w:r>
              <w:rPr>
                <w:noProof/>
                <w:webHidden/>
              </w:rPr>
              <w:instrText xml:space="preserve"> PAGEREF _Toc202452437 \h </w:instrText>
            </w:r>
            <w:r>
              <w:rPr>
                <w:noProof/>
                <w:webHidden/>
              </w:rPr>
            </w:r>
            <w:r>
              <w:rPr>
                <w:noProof/>
                <w:webHidden/>
              </w:rPr>
              <w:fldChar w:fldCharType="separate"/>
            </w:r>
            <w:r>
              <w:rPr>
                <w:noProof/>
                <w:webHidden/>
              </w:rPr>
              <w:t>6</w:t>
            </w:r>
            <w:r>
              <w:rPr>
                <w:noProof/>
                <w:webHidden/>
              </w:rPr>
              <w:fldChar w:fldCharType="end"/>
            </w:r>
          </w:hyperlink>
        </w:p>
        <w:p w14:paraId="7D887F6D" w14:textId="5227B5BB" w:rsidR="00170E7C" w:rsidRDefault="00170E7C">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38" w:history="1">
            <w:r w:rsidRPr="005302B8">
              <w:rPr>
                <w:rStyle w:val="Hyperlink"/>
                <w:noProof/>
              </w:rPr>
              <w:t>1.3.4</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Registered Nurses.</w:t>
            </w:r>
            <w:r>
              <w:rPr>
                <w:noProof/>
                <w:webHidden/>
              </w:rPr>
              <w:tab/>
            </w:r>
            <w:r>
              <w:rPr>
                <w:noProof/>
                <w:webHidden/>
              </w:rPr>
              <w:fldChar w:fldCharType="begin"/>
            </w:r>
            <w:r>
              <w:rPr>
                <w:noProof/>
                <w:webHidden/>
              </w:rPr>
              <w:instrText xml:space="preserve"> PAGEREF _Toc202452438 \h </w:instrText>
            </w:r>
            <w:r>
              <w:rPr>
                <w:noProof/>
                <w:webHidden/>
              </w:rPr>
            </w:r>
            <w:r>
              <w:rPr>
                <w:noProof/>
                <w:webHidden/>
              </w:rPr>
              <w:fldChar w:fldCharType="separate"/>
            </w:r>
            <w:r>
              <w:rPr>
                <w:noProof/>
                <w:webHidden/>
              </w:rPr>
              <w:t>6</w:t>
            </w:r>
            <w:r>
              <w:rPr>
                <w:noProof/>
                <w:webHidden/>
              </w:rPr>
              <w:fldChar w:fldCharType="end"/>
            </w:r>
          </w:hyperlink>
        </w:p>
        <w:p w14:paraId="788D71D4" w14:textId="2337CFEB" w:rsidR="00170E7C" w:rsidRDefault="00170E7C">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39" w:history="1">
            <w:r w:rsidRPr="005302B8">
              <w:rPr>
                <w:rStyle w:val="Hyperlink"/>
                <w:noProof/>
              </w:rPr>
              <w:t>1.3.5</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Non-Registered Clinical Support Staff</w:t>
            </w:r>
            <w:r>
              <w:rPr>
                <w:noProof/>
                <w:webHidden/>
              </w:rPr>
              <w:tab/>
            </w:r>
            <w:r>
              <w:rPr>
                <w:noProof/>
                <w:webHidden/>
              </w:rPr>
              <w:fldChar w:fldCharType="begin"/>
            </w:r>
            <w:r>
              <w:rPr>
                <w:noProof/>
                <w:webHidden/>
              </w:rPr>
              <w:instrText xml:space="preserve"> PAGEREF _Toc202452439 \h </w:instrText>
            </w:r>
            <w:r>
              <w:rPr>
                <w:noProof/>
                <w:webHidden/>
              </w:rPr>
            </w:r>
            <w:r>
              <w:rPr>
                <w:noProof/>
                <w:webHidden/>
              </w:rPr>
              <w:fldChar w:fldCharType="separate"/>
            </w:r>
            <w:r>
              <w:rPr>
                <w:noProof/>
                <w:webHidden/>
              </w:rPr>
              <w:t>6</w:t>
            </w:r>
            <w:r>
              <w:rPr>
                <w:noProof/>
                <w:webHidden/>
              </w:rPr>
              <w:fldChar w:fldCharType="end"/>
            </w:r>
          </w:hyperlink>
        </w:p>
        <w:p w14:paraId="6554CE52" w14:textId="7DCF541A" w:rsidR="00170E7C" w:rsidRDefault="00170E7C">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40" w:history="1">
            <w:r w:rsidRPr="005302B8">
              <w:rPr>
                <w:rStyle w:val="Hyperlink"/>
                <w:noProof/>
              </w:rPr>
              <w:t>1.3.6</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Student Nurses</w:t>
            </w:r>
            <w:r>
              <w:rPr>
                <w:noProof/>
                <w:webHidden/>
              </w:rPr>
              <w:tab/>
            </w:r>
            <w:r>
              <w:rPr>
                <w:noProof/>
                <w:webHidden/>
              </w:rPr>
              <w:fldChar w:fldCharType="begin"/>
            </w:r>
            <w:r>
              <w:rPr>
                <w:noProof/>
                <w:webHidden/>
              </w:rPr>
              <w:instrText xml:space="preserve"> PAGEREF _Toc202452440 \h </w:instrText>
            </w:r>
            <w:r>
              <w:rPr>
                <w:noProof/>
                <w:webHidden/>
              </w:rPr>
            </w:r>
            <w:r>
              <w:rPr>
                <w:noProof/>
                <w:webHidden/>
              </w:rPr>
              <w:fldChar w:fldCharType="separate"/>
            </w:r>
            <w:r>
              <w:rPr>
                <w:noProof/>
                <w:webHidden/>
              </w:rPr>
              <w:t>7</w:t>
            </w:r>
            <w:r>
              <w:rPr>
                <w:noProof/>
                <w:webHidden/>
              </w:rPr>
              <w:fldChar w:fldCharType="end"/>
            </w:r>
          </w:hyperlink>
        </w:p>
        <w:p w14:paraId="017C06D2" w14:textId="5136CF1F" w:rsidR="00170E7C" w:rsidRDefault="00170E7C">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41" w:history="1">
            <w:r w:rsidRPr="005302B8">
              <w:rPr>
                <w:rStyle w:val="Hyperlink"/>
                <w:noProof/>
              </w:rPr>
              <w:t>2</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POLICY</w:t>
            </w:r>
            <w:r>
              <w:rPr>
                <w:noProof/>
                <w:webHidden/>
              </w:rPr>
              <w:tab/>
            </w:r>
            <w:r>
              <w:rPr>
                <w:noProof/>
                <w:webHidden/>
              </w:rPr>
              <w:fldChar w:fldCharType="begin"/>
            </w:r>
            <w:r>
              <w:rPr>
                <w:noProof/>
                <w:webHidden/>
              </w:rPr>
              <w:instrText xml:space="preserve"> PAGEREF _Toc202452441 \h </w:instrText>
            </w:r>
            <w:r>
              <w:rPr>
                <w:noProof/>
                <w:webHidden/>
              </w:rPr>
            </w:r>
            <w:r>
              <w:rPr>
                <w:noProof/>
                <w:webHidden/>
              </w:rPr>
              <w:fldChar w:fldCharType="separate"/>
            </w:r>
            <w:r>
              <w:rPr>
                <w:noProof/>
                <w:webHidden/>
              </w:rPr>
              <w:t>7</w:t>
            </w:r>
            <w:r>
              <w:rPr>
                <w:noProof/>
                <w:webHidden/>
              </w:rPr>
              <w:fldChar w:fldCharType="end"/>
            </w:r>
          </w:hyperlink>
        </w:p>
        <w:p w14:paraId="0E1E5067" w14:textId="293299EB" w:rsidR="00170E7C" w:rsidRDefault="00170E7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42" w:history="1">
            <w:r w:rsidRPr="005302B8">
              <w:rPr>
                <w:rStyle w:val="Hyperlink"/>
                <w:noProof/>
              </w:rPr>
              <w:t>2.1</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Risk Assessment.</w:t>
            </w:r>
            <w:r>
              <w:rPr>
                <w:noProof/>
                <w:webHidden/>
              </w:rPr>
              <w:tab/>
            </w:r>
            <w:r>
              <w:rPr>
                <w:noProof/>
                <w:webHidden/>
              </w:rPr>
              <w:fldChar w:fldCharType="begin"/>
            </w:r>
            <w:r>
              <w:rPr>
                <w:noProof/>
                <w:webHidden/>
              </w:rPr>
              <w:instrText xml:space="preserve"> PAGEREF _Toc202452442 \h </w:instrText>
            </w:r>
            <w:r>
              <w:rPr>
                <w:noProof/>
                <w:webHidden/>
              </w:rPr>
            </w:r>
            <w:r>
              <w:rPr>
                <w:noProof/>
                <w:webHidden/>
              </w:rPr>
              <w:fldChar w:fldCharType="separate"/>
            </w:r>
            <w:r>
              <w:rPr>
                <w:noProof/>
                <w:webHidden/>
              </w:rPr>
              <w:t>8</w:t>
            </w:r>
            <w:r>
              <w:rPr>
                <w:noProof/>
                <w:webHidden/>
              </w:rPr>
              <w:fldChar w:fldCharType="end"/>
            </w:r>
          </w:hyperlink>
        </w:p>
        <w:p w14:paraId="3BFF360B" w14:textId="2EA71D59" w:rsidR="00170E7C" w:rsidRDefault="00170E7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43" w:history="1">
            <w:r w:rsidRPr="005302B8">
              <w:rPr>
                <w:rStyle w:val="Hyperlink"/>
                <w:noProof/>
              </w:rPr>
              <w:t>2.2</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Prescribing</w:t>
            </w:r>
            <w:r>
              <w:rPr>
                <w:noProof/>
                <w:webHidden/>
              </w:rPr>
              <w:tab/>
            </w:r>
            <w:r>
              <w:rPr>
                <w:noProof/>
                <w:webHidden/>
              </w:rPr>
              <w:fldChar w:fldCharType="begin"/>
            </w:r>
            <w:r>
              <w:rPr>
                <w:noProof/>
                <w:webHidden/>
              </w:rPr>
              <w:instrText xml:space="preserve"> PAGEREF _Toc202452443 \h </w:instrText>
            </w:r>
            <w:r>
              <w:rPr>
                <w:noProof/>
                <w:webHidden/>
              </w:rPr>
            </w:r>
            <w:r>
              <w:rPr>
                <w:noProof/>
                <w:webHidden/>
              </w:rPr>
              <w:fldChar w:fldCharType="separate"/>
            </w:r>
            <w:r>
              <w:rPr>
                <w:noProof/>
                <w:webHidden/>
              </w:rPr>
              <w:t>8</w:t>
            </w:r>
            <w:r>
              <w:rPr>
                <w:noProof/>
                <w:webHidden/>
              </w:rPr>
              <w:fldChar w:fldCharType="end"/>
            </w:r>
          </w:hyperlink>
        </w:p>
        <w:p w14:paraId="48C912EF" w14:textId="2748E588" w:rsidR="00170E7C" w:rsidRDefault="00170E7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44" w:history="1">
            <w:r w:rsidRPr="005302B8">
              <w:rPr>
                <w:rStyle w:val="Hyperlink"/>
                <w:noProof/>
              </w:rPr>
              <w:t>2.3</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Monitoring</w:t>
            </w:r>
            <w:r>
              <w:rPr>
                <w:noProof/>
                <w:webHidden/>
              </w:rPr>
              <w:tab/>
            </w:r>
            <w:r>
              <w:rPr>
                <w:noProof/>
                <w:webHidden/>
              </w:rPr>
              <w:fldChar w:fldCharType="begin"/>
            </w:r>
            <w:r>
              <w:rPr>
                <w:noProof/>
                <w:webHidden/>
              </w:rPr>
              <w:instrText xml:space="preserve"> PAGEREF _Toc202452444 \h </w:instrText>
            </w:r>
            <w:r>
              <w:rPr>
                <w:noProof/>
                <w:webHidden/>
              </w:rPr>
            </w:r>
            <w:r>
              <w:rPr>
                <w:noProof/>
                <w:webHidden/>
              </w:rPr>
              <w:fldChar w:fldCharType="separate"/>
            </w:r>
            <w:r>
              <w:rPr>
                <w:noProof/>
                <w:webHidden/>
              </w:rPr>
              <w:t>8</w:t>
            </w:r>
            <w:r>
              <w:rPr>
                <w:noProof/>
                <w:webHidden/>
              </w:rPr>
              <w:fldChar w:fldCharType="end"/>
            </w:r>
          </w:hyperlink>
        </w:p>
        <w:p w14:paraId="64E82F31" w14:textId="18D8D7D0" w:rsidR="00170E7C" w:rsidRDefault="00170E7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45" w:history="1">
            <w:r w:rsidRPr="005302B8">
              <w:rPr>
                <w:rStyle w:val="Hyperlink"/>
                <w:noProof/>
              </w:rPr>
              <w:t>2.4</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Training and Other Requirements</w:t>
            </w:r>
            <w:r>
              <w:rPr>
                <w:noProof/>
                <w:webHidden/>
              </w:rPr>
              <w:tab/>
            </w:r>
            <w:r>
              <w:rPr>
                <w:noProof/>
                <w:webHidden/>
              </w:rPr>
              <w:fldChar w:fldCharType="begin"/>
            </w:r>
            <w:r>
              <w:rPr>
                <w:noProof/>
                <w:webHidden/>
              </w:rPr>
              <w:instrText xml:space="preserve"> PAGEREF _Toc202452445 \h </w:instrText>
            </w:r>
            <w:r>
              <w:rPr>
                <w:noProof/>
                <w:webHidden/>
              </w:rPr>
            </w:r>
            <w:r>
              <w:rPr>
                <w:noProof/>
                <w:webHidden/>
              </w:rPr>
              <w:fldChar w:fldCharType="separate"/>
            </w:r>
            <w:r>
              <w:rPr>
                <w:noProof/>
                <w:webHidden/>
              </w:rPr>
              <w:t>8</w:t>
            </w:r>
            <w:r>
              <w:rPr>
                <w:noProof/>
                <w:webHidden/>
              </w:rPr>
              <w:fldChar w:fldCharType="end"/>
            </w:r>
          </w:hyperlink>
        </w:p>
        <w:p w14:paraId="3A6758DF" w14:textId="253A1805" w:rsidR="00170E7C" w:rsidRDefault="00170E7C">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46" w:history="1">
            <w:r w:rsidRPr="005302B8">
              <w:rPr>
                <w:rStyle w:val="Hyperlink"/>
                <w:iCs/>
                <w:noProof/>
              </w:rPr>
              <w:t>2.4.1</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Bank Registered Nurses</w:t>
            </w:r>
            <w:r>
              <w:rPr>
                <w:noProof/>
                <w:webHidden/>
              </w:rPr>
              <w:tab/>
            </w:r>
            <w:r>
              <w:rPr>
                <w:noProof/>
                <w:webHidden/>
              </w:rPr>
              <w:fldChar w:fldCharType="begin"/>
            </w:r>
            <w:r>
              <w:rPr>
                <w:noProof/>
                <w:webHidden/>
              </w:rPr>
              <w:instrText xml:space="preserve"> PAGEREF _Toc202452446 \h </w:instrText>
            </w:r>
            <w:r>
              <w:rPr>
                <w:noProof/>
                <w:webHidden/>
              </w:rPr>
            </w:r>
            <w:r>
              <w:rPr>
                <w:noProof/>
                <w:webHidden/>
              </w:rPr>
              <w:fldChar w:fldCharType="separate"/>
            </w:r>
            <w:r>
              <w:rPr>
                <w:noProof/>
                <w:webHidden/>
              </w:rPr>
              <w:t>9</w:t>
            </w:r>
            <w:r>
              <w:rPr>
                <w:noProof/>
                <w:webHidden/>
              </w:rPr>
              <w:fldChar w:fldCharType="end"/>
            </w:r>
          </w:hyperlink>
        </w:p>
        <w:p w14:paraId="29C93655" w14:textId="24799138" w:rsidR="00170E7C" w:rsidRDefault="00170E7C">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47" w:history="1">
            <w:r w:rsidRPr="005302B8">
              <w:rPr>
                <w:rStyle w:val="Hyperlink"/>
                <w:noProof/>
              </w:rPr>
              <w:t>2.4.2</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Student Nurses</w:t>
            </w:r>
            <w:r>
              <w:rPr>
                <w:noProof/>
                <w:webHidden/>
              </w:rPr>
              <w:tab/>
            </w:r>
            <w:r>
              <w:rPr>
                <w:noProof/>
                <w:webHidden/>
              </w:rPr>
              <w:fldChar w:fldCharType="begin"/>
            </w:r>
            <w:r>
              <w:rPr>
                <w:noProof/>
                <w:webHidden/>
              </w:rPr>
              <w:instrText xml:space="preserve"> PAGEREF _Toc202452447 \h </w:instrText>
            </w:r>
            <w:r>
              <w:rPr>
                <w:noProof/>
                <w:webHidden/>
              </w:rPr>
            </w:r>
            <w:r>
              <w:rPr>
                <w:noProof/>
                <w:webHidden/>
              </w:rPr>
              <w:fldChar w:fldCharType="separate"/>
            </w:r>
            <w:r>
              <w:rPr>
                <w:noProof/>
                <w:webHidden/>
              </w:rPr>
              <w:t>9</w:t>
            </w:r>
            <w:r>
              <w:rPr>
                <w:noProof/>
                <w:webHidden/>
              </w:rPr>
              <w:fldChar w:fldCharType="end"/>
            </w:r>
          </w:hyperlink>
        </w:p>
        <w:p w14:paraId="2736341F" w14:textId="7F4391C9" w:rsidR="00170E7C" w:rsidRDefault="00170E7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48" w:history="1">
            <w:r w:rsidRPr="005302B8">
              <w:rPr>
                <w:rStyle w:val="Hyperlink"/>
                <w:noProof/>
              </w:rPr>
              <w:t>2.5</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Infection Prevention and Control</w:t>
            </w:r>
            <w:r>
              <w:rPr>
                <w:noProof/>
                <w:webHidden/>
              </w:rPr>
              <w:tab/>
            </w:r>
            <w:r>
              <w:rPr>
                <w:noProof/>
                <w:webHidden/>
              </w:rPr>
              <w:fldChar w:fldCharType="begin"/>
            </w:r>
            <w:r>
              <w:rPr>
                <w:noProof/>
                <w:webHidden/>
              </w:rPr>
              <w:instrText xml:space="preserve"> PAGEREF _Toc202452448 \h </w:instrText>
            </w:r>
            <w:r>
              <w:rPr>
                <w:noProof/>
                <w:webHidden/>
              </w:rPr>
            </w:r>
            <w:r>
              <w:rPr>
                <w:noProof/>
                <w:webHidden/>
              </w:rPr>
              <w:fldChar w:fldCharType="separate"/>
            </w:r>
            <w:r>
              <w:rPr>
                <w:noProof/>
                <w:webHidden/>
              </w:rPr>
              <w:t>9</w:t>
            </w:r>
            <w:r>
              <w:rPr>
                <w:noProof/>
                <w:webHidden/>
              </w:rPr>
              <w:fldChar w:fldCharType="end"/>
            </w:r>
          </w:hyperlink>
        </w:p>
        <w:p w14:paraId="657A498C" w14:textId="3202D77A" w:rsidR="00170E7C" w:rsidRDefault="00170E7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49" w:history="1">
            <w:r w:rsidRPr="005302B8">
              <w:rPr>
                <w:rStyle w:val="Hyperlink"/>
                <w:noProof/>
              </w:rPr>
              <w:t>2.6</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Preparation and Administration</w:t>
            </w:r>
            <w:r>
              <w:rPr>
                <w:noProof/>
                <w:webHidden/>
              </w:rPr>
              <w:tab/>
            </w:r>
            <w:r>
              <w:rPr>
                <w:noProof/>
                <w:webHidden/>
              </w:rPr>
              <w:fldChar w:fldCharType="begin"/>
            </w:r>
            <w:r>
              <w:rPr>
                <w:noProof/>
                <w:webHidden/>
              </w:rPr>
              <w:instrText xml:space="preserve"> PAGEREF _Toc202452449 \h </w:instrText>
            </w:r>
            <w:r>
              <w:rPr>
                <w:noProof/>
                <w:webHidden/>
              </w:rPr>
            </w:r>
            <w:r>
              <w:rPr>
                <w:noProof/>
                <w:webHidden/>
              </w:rPr>
              <w:fldChar w:fldCharType="separate"/>
            </w:r>
            <w:r>
              <w:rPr>
                <w:noProof/>
                <w:webHidden/>
              </w:rPr>
              <w:t>9</w:t>
            </w:r>
            <w:r>
              <w:rPr>
                <w:noProof/>
                <w:webHidden/>
              </w:rPr>
              <w:fldChar w:fldCharType="end"/>
            </w:r>
          </w:hyperlink>
        </w:p>
        <w:p w14:paraId="1F647A38" w14:textId="34A79398" w:rsidR="00170E7C" w:rsidRDefault="00170E7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50" w:history="1">
            <w:r w:rsidRPr="005302B8">
              <w:rPr>
                <w:rStyle w:val="Hyperlink"/>
                <w:noProof/>
              </w:rPr>
              <w:t>2.7</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Storage and Disposal</w:t>
            </w:r>
            <w:r>
              <w:rPr>
                <w:noProof/>
                <w:webHidden/>
              </w:rPr>
              <w:tab/>
            </w:r>
            <w:r>
              <w:rPr>
                <w:noProof/>
                <w:webHidden/>
              </w:rPr>
              <w:fldChar w:fldCharType="begin"/>
            </w:r>
            <w:r>
              <w:rPr>
                <w:noProof/>
                <w:webHidden/>
              </w:rPr>
              <w:instrText xml:space="preserve"> PAGEREF _Toc202452450 \h </w:instrText>
            </w:r>
            <w:r>
              <w:rPr>
                <w:noProof/>
                <w:webHidden/>
              </w:rPr>
            </w:r>
            <w:r>
              <w:rPr>
                <w:noProof/>
                <w:webHidden/>
              </w:rPr>
              <w:fldChar w:fldCharType="separate"/>
            </w:r>
            <w:r>
              <w:rPr>
                <w:noProof/>
                <w:webHidden/>
              </w:rPr>
              <w:t>11</w:t>
            </w:r>
            <w:r>
              <w:rPr>
                <w:noProof/>
                <w:webHidden/>
              </w:rPr>
              <w:fldChar w:fldCharType="end"/>
            </w:r>
          </w:hyperlink>
        </w:p>
        <w:p w14:paraId="6CB18192" w14:textId="4BF14D42" w:rsidR="00170E7C" w:rsidRDefault="00170E7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51" w:history="1">
            <w:r w:rsidRPr="005302B8">
              <w:rPr>
                <w:rStyle w:val="Hyperlink"/>
                <w:noProof/>
              </w:rPr>
              <w:t>2.8</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Documentation</w:t>
            </w:r>
            <w:r>
              <w:rPr>
                <w:noProof/>
                <w:webHidden/>
              </w:rPr>
              <w:tab/>
            </w:r>
            <w:r>
              <w:rPr>
                <w:noProof/>
                <w:webHidden/>
              </w:rPr>
              <w:fldChar w:fldCharType="begin"/>
            </w:r>
            <w:r>
              <w:rPr>
                <w:noProof/>
                <w:webHidden/>
              </w:rPr>
              <w:instrText xml:space="preserve"> PAGEREF _Toc202452451 \h </w:instrText>
            </w:r>
            <w:r>
              <w:rPr>
                <w:noProof/>
                <w:webHidden/>
              </w:rPr>
            </w:r>
            <w:r>
              <w:rPr>
                <w:noProof/>
                <w:webHidden/>
              </w:rPr>
              <w:fldChar w:fldCharType="separate"/>
            </w:r>
            <w:r>
              <w:rPr>
                <w:noProof/>
                <w:webHidden/>
              </w:rPr>
              <w:t>11</w:t>
            </w:r>
            <w:r>
              <w:rPr>
                <w:noProof/>
                <w:webHidden/>
              </w:rPr>
              <w:fldChar w:fldCharType="end"/>
            </w:r>
          </w:hyperlink>
        </w:p>
        <w:p w14:paraId="70C4A5F6" w14:textId="446FCEFB" w:rsidR="00170E7C" w:rsidRDefault="00170E7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52" w:history="1">
            <w:r w:rsidRPr="005302B8">
              <w:rPr>
                <w:rStyle w:val="Hyperlink"/>
                <w:noProof/>
              </w:rPr>
              <w:t>2.9</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Patient Self-Administration of Injectable Medicines</w:t>
            </w:r>
            <w:r>
              <w:rPr>
                <w:noProof/>
                <w:webHidden/>
              </w:rPr>
              <w:tab/>
            </w:r>
            <w:r>
              <w:rPr>
                <w:noProof/>
                <w:webHidden/>
              </w:rPr>
              <w:fldChar w:fldCharType="begin"/>
            </w:r>
            <w:r>
              <w:rPr>
                <w:noProof/>
                <w:webHidden/>
              </w:rPr>
              <w:instrText xml:space="preserve"> PAGEREF _Toc202452452 \h </w:instrText>
            </w:r>
            <w:r>
              <w:rPr>
                <w:noProof/>
                <w:webHidden/>
              </w:rPr>
            </w:r>
            <w:r>
              <w:rPr>
                <w:noProof/>
                <w:webHidden/>
              </w:rPr>
              <w:fldChar w:fldCharType="separate"/>
            </w:r>
            <w:r>
              <w:rPr>
                <w:noProof/>
                <w:webHidden/>
              </w:rPr>
              <w:t>11</w:t>
            </w:r>
            <w:r>
              <w:rPr>
                <w:noProof/>
                <w:webHidden/>
              </w:rPr>
              <w:fldChar w:fldCharType="end"/>
            </w:r>
          </w:hyperlink>
        </w:p>
        <w:p w14:paraId="431FCC2C" w14:textId="3F20DAF7" w:rsidR="00170E7C" w:rsidRDefault="00170E7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53" w:history="1">
            <w:r w:rsidRPr="005302B8">
              <w:rPr>
                <w:rStyle w:val="Hyperlink"/>
                <w:noProof/>
              </w:rPr>
              <w:t>2.10</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Care/Support Workers Administration of Injectable Medicines</w:t>
            </w:r>
            <w:r>
              <w:rPr>
                <w:noProof/>
                <w:webHidden/>
              </w:rPr>
              <w:tab/>
            </w:r>
            <w:r>
              <w:rPr>
                <w:noProof/>
                <w:webHidden/>
              </w:rPr>
              <w:fldChar w:fldCharType="begin"/>
            </w:r>
            <w:r>
              <w:rPr>
                <w:noProof/>
                <w:webHidden/>
              </w:rPr>
              <w:instrText xml:space="preserve"> PAGEREF _Toc202452453 \h </w:instrText>
            </w:r>
            <w:r>
              <w:rPr>
                <w:noProof/>
                <w:webHidden/>
              </w:rPr>
            </w:r>
            <w:r>
              <w:rPr>
                <w:noProof/>
                <w:webHidden/>
              </w:rPr>
              <w:fldChar w:fldCharType="separate"/>
            </w:r>
            <w:r>
              <w:rPr>
                <w:noProof/>
                <w:webHidden/>
              </w:rPr>
              <w:t>12</w:t>
            </w:r>
            <w:r>
              <w:rPr>
                <w:noProof/>
                <w:webHidden/>
              </w:rPr>
              <w:fldChar w:fldCharType="end"/>
            </w:r>
          </w:hyperlink>
        </w:p>
        <w:p w14:paraId="35E88CED" w14:textId="64491537" w:rsidR="00170E7C" w:rsidRDefault="00170E7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54" w:history="1">
            <w:r w:rsidRPr="005302B8">
              <w:rPr>
                <w:rStyle w:val="Hyperlink"/>
                <w:noProof/>
              </w:rPr>
              <w:t>2.11</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Consent</w:t>
            </w:r>
            <w:r>
              <w:rPr>
                <w:noProof/>
                <w:webHidden/>
              </w:rPr>
              <w:tab/>
            </w:r>
            <w:r>
              <w:rPr>
                <w:noProof/>
                <w:webHidden/>
              </w:rPr>
              <w:fldChar w:fldCharType="begin"/>
            </w:r>
            <w:r>
              <w:rPr>
                <w:noProof/>
                <w:webHidden/>
              </w:rPr>
              <w:instrText xml:space="preserve"> PAGEREF _Toc202452454 \h </w:instrText>
            </w:r>
            <w:r>
              <w:rPr>
                <w:noProof/>
                <w:webHidden/>
              </w:rPr>
            </w:r>
            <w:r>
              <w:rPr>
                <w:noProof/>
                <w:webHidden/>
              </w:rPr>
              <w:fldChar w:fldCharType="separate"/>
            </w:r>
            <w:r>
              <w:rPr>
                <w:noProof/>
                <w:webHidden/>
              </w:rPr>
              <w:t>12</w:t>
            </w:r>
            <w:r>
              <w:rPr>
                <w:noProof/>
                <w:webHidden/>
              </w:rPr>
              <w:fldChar w:fldCharType="end"/>
            </w:r>
          </w:hyperlink>
        </w:p>
        <w:p w14:paraId="35732AE1" w14:textId="07878651" w:rsidR="00170E7C" w:rsidRDefault="00170E7C">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55" w:history="1">
            <w:r w:rsidRPr="005302B8">
              <w:rPr>
                <w:rStyle w:val="Hyperlink"/>
                <w:noProof/>
              </w:rPr>
              <w:t>3</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PROCEDURE</w:t>
            </w:r>
            <w:r>
              <w:rPr>
                <w:noProof/>
                <w:webHidden/>
              </w:rPr>
              <w:tab/>
            </w:r>
            <w:r>
              <w:rPr>
                <w:noProof/>
                <w:webHidden/>
              </w:rPr>
              <w:fldChar w:fldCharType="begin"/>
            </w:r>
            <w:r>
              <w:rPr>
                <w:noProof/>
                <w:webHidden/>
              </w:rPr>
              <w:instrText xml:space="preserve"> PAGEREF _Toc202452455 \h </w:instrText>
            </w:r>
            <w:r>
              <w:rPr>
                <w:noProof/>
                <w:webHidden/>
              </w:rPr>
            </w:r>
            <w:r>
              <w:rPr>
                <w:noProof/>
                <w:webHidden/>
              </w:rPr>
              <w:fldChar w:fldCharType="separate"/>
            </w:r>
            <w:r>
              <w:rPr>
                <w:noProof/>
                <w:webHidden/>
              </w:rPr>
              <w:t>12</w:t>
            </w:r>
            <w:r>
              <w:rPr>
                <w:noProof/>
                <w:webHidden/>
              </w:rPr>
              <w:fldChar w:fldCharType="end"/>
            </w:r>
          </w:hyperlink>
        </w:p>
        <w:p w14:paraId="1E40B7DB" w14:textId="0193E117" w:rsidR="00170E7C" w:rsidRDefault="00170E7C">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56" w:history="1">
            <w:r w:rsidRPr="005302B8">
              <w:rPr>
                <w:rStyle w:val="Hyperlink"/>
                <w:noProof/>
              </w:rPr>
              <w:t>4</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MONITORING COMPLIANCE</w:t>
            </w:r>
            <w:r>
              <w:rPr>
                <w:noProof/>
                <w:webHidden/>
              </w:rPr>
              <w:tab/>
            </w:r>
            <w:r>
              <w:rPr>
                <w:noProof/>
                <w:webHidden/>
              </w:rPr>
              <w:fldChar w:fldCharType="begin"/>
            </w:r>
            <w:r>
              <w:rPr>
                <w:noProof/>
                <w:webHidden/>
              </w:rPr>
              <w:instrText xml:space="preserve"> PAGEREF _Toc202452456 \h </w:instrText>
            </w:r>
            <w:r>
              <w:rPr>
                <w:noProof/>
                <w:webHidden/>
              </w:rPr>
            </w:r>
            <w:r>
              <w:rPr>
                <w:noProof/>
                <w:webHidden/>
              </w:rPr>
              <w:fldChar w:fldCharType="separate"/>
            </w:r>
            <w:r>
              <w:rPr>
                <w:noProof/>
                <w:webHidden/>
              </w:rPr>
              <w:t>12</w:t>
            </w:r>
            <w:r>
              <w:rPr>
                <w:noProof/>
                <w:webHidden/>
              </w:rPr>
              <w:fldChar w:fldCharType="end"/>
            </w:r>
          </w:hyperlink>
        </w:p>
        <w:p w14:paraId="33DA164A" w14:textId="653F2BA8" w:rsidR="00170E7C" w:rsidRDefault="00170E7C">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57" w:history="1">
            <w:r w:rsidRPr="005302B8">
              <w:rPr>
                <w:rStyle w:val="Hyperlink"/>
                <w:noProof/>
              </w:rPr>
              <w:t>5</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CONSULTATION PROCESS</w:t>
            </w:r>
            <w:r>
              <w:rPr>
                <w:noProof/>
                <w:webHidden/>
              </w:rPr>
              <w:tab/>
            </w:r>
            <w:r>
              <w:rPr>
                <w:noProof/>
                <w:webHidden/>
              </w:rPr>
              <w:fldChar w:fldCharType="begin"/>
            </w:r>
            <w:r>
              <w:rPr>
                <w:noProof/>
                <w:webHidden/>
              </w:rPr>
              <w:instrText xml:space="preserve"> PAGEREF _Toc202452457 \h </w:instrText>
            </w:r>
            <w:r>
              <w:rPr>
                <w:noProof/>
                <w:webHidden/>
              </w:rPr>
            </w:r>
            <w:r>
              <w:rPr>
                <w:noProof/>
                <w:webHidden/>
              </w:rPr>
              <w:fldChar w:fldCharType="separate"/>
            </w:r>
            <w:r>
              <w:rPr>
                <w:noProof/>
                <w:webHidden/>
              </w:rPr>
              <w:t>13</w:t>
            </w:r>
            <w:r>
              <w:rPr>
                <w:noProof/>
                <w:webHidden/>
              </w:rPr>
              <w:fldChar w:fldCharType="end"/>
            </w:r>
          </w:hyperlink>
        </w:p>
        <w:p w14:paraId="5095E488" w14:textId="700981B4" w:rsidR="00170E7C" w:rsidRDefault="00170E7C">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58" w:history="1">
            <w:r w:rsidRPr="005302B8">
              <w:rPr>
                <w:rStyle w:val="Hyperlink"/>
                <w:noProof/>
              </w:rPr>
              <w:t>6</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EQUALITY IMPACT STATEMENT</w:t>
            </w:r>
            <w:r>
              <w:rPr>
                <w:noProof/>
                <w:webHidden/>
              </w:rPr>
              <w:tab/>
            </w:r>
            <w:r>
              <w:rPr>
                <w:noProof/>
                <w:webHidden/>
              </w:rPr>
              <w:fldChar w:fldCharType="begin"/>
            </w:r>
            <w:r>
              <w:rPr>
                <w:noProof/>
                <w:webHidden/>
              </w:rPr>
              <w:instrText xml:space="preserve"> PAGEREF _Toc202452458 \h </w:instrText>
            </w:r>
            <w:r>
              <w:rPr>
                <w:noProof/>
                <w:webHidden/>
              </w:rPr>
            </w:r>
            <w:r>
              <w:rPr>
                <w:noProof/>
                <w:webHidden/>
              </w:rPr>
              <w:fldChar w:fldCharType="separate"/>
            </w:r>
            <w:r>
              <w:rPr>
                <w:noProof/>
                <w:webHidden/>
              </w:rPr>
              <w:t>13</w:t>
            </w:r>
            <w:r>
              <w:rPr>
                <w:noProof/>
                <w:webHidden/>
              </w:rPr>
              <w:fldChar w:fldCharType="end"/>
            </w:r>
          </w:hyperlink>
        </w:p>
        <w:p w14:paraId="216D1278" w14:textId="3698DDF0" w:rsidR="00170E7C" w:rsidRDefault="00170E7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59" w:history="1">
            <w:r w:rsidRPr="005302B8">
              <w:rPr>
                <w:rStyle w:val="Hyperlink"/>
                <w:noProof/>
              </w:rPr>
              <w:t>6.1</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EQUALITY IMPACT SCREENING TOOL</w:t>
            </w:r>
            <w:r>
              <w:rPr>
                <w:noProof/>
                <w:webHidden/>
              </w:rPr>
              <w:tab/>
            </w:r>
            <w:r>
              <w:rPr>
                <w:noProof/>
                <w:webHidden/>
              </w:rPr>
              <w:fldChar w:fldCharType="begin"/>
            </w:r>
            <w:r>
              <w:rPr>
                <w:noProof/>
                <w:webHidden/>
              </w:rPr>
              <w:instrText xml:space="preserve"> PAGEREF _Toc202452459 \h </w:instrText>
            </w:r>
            <w:r>
              <w:rPr>
                <w:noProof/>
                <w:webHidden/>
              </w:rPr>
            </w:r>
            <w:r>
              <w:rPr>
                <w:noProof/>
                <w:webHidden/>
              </w:rPr>
              <w:fldChar w:fldCharType="separate"/>
            </w:r>
            <w:r>
              <w:rPr>
                <w:noProof/>
                <w:webHidden/>
              </w:rPr>
              <w:t>14</w:t>
            </w:r>
            <w:r>
              <w:rPr>
                <w:noProof/>
                <w:webHidden/>
              </w:rPr>
              <w:fldChar w:fldCharType="end"/>
            </w:r>
          </w:hyperlink>
        </w:p>
        <w:p w14:paraId="706A4FFF" w14:textId="7DAE6643" w:rsidR="00170E7C" w:rsidRDefault="00170E7C">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60" w:history="1">
            <w:r w:rsidRPr="005302B8">
              <w:rPr>
                <w:rStyle w:val="Hyperlink"/>
                <w:noProof/>
              </w:rPr>
              <w:t>7</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IMPLEMENTATION PLAN</w:t>
            </w:r>
            <w:r>
              <w:rPr>
                <w:noProof/>
                <w:webHidden/>
              </w:rPr>
              <w:tab/>
            </w:r>
            <w:r>
              <w:rPr>
                <w:noProof/>
                <w:webHidden/>
              </w:rPr>
              <w:fldChar w:fldCharType="begin"/>
            </w:r>
            <w:r>
              <w:rPr>
                <w:noProof/>
                <w:webHidden/>
              </w:rPr>
              <w:instrText xml:space="preserve"> PAGEREF _Toc202452460 \h </w:instrText>
            </w:r>
            <w:r>
              <w:rPr>
                <w:noProof/>
                <w:webHidden/>
              </w:rPr>
            </w:r>
            <w:r>
              <w:rPr>
                <w:noProof/>
                <w:webHidden/>
              </w:rPr>
              <w:fldChar w:fldCharType="separate"/>
            </w:r>
            <w:r>
              <w:rPr>
                <w:noProof/>
                <w:webHidden/>
              </w:rPr>
              <w:t>15</w:t>
            </w:r>
            <w:r>
              <w:rPr>
                <w:noProof/>
                <w:webHidden/>
              </w:rPr>
              <w:fldChar w:fldCharType="end"/>
            </w:r>
          </w:hyperlink>
        </w:p>
        <w:p w14:paraId="398BD1A3" w14:textId="040FA63F" w:rsidR="00170E7C" w:rsidRDefault="00170E7C">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61" w:history="1">
            <w:r w:rsidRPr="005302B8">
              <w:rPr>
                <w:rStyle w:val="Hyperlink"/>
                <w:noProof/>
              </w:rPr>
              <w:t>8</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GLOSSARY OF TERMS</w:t>
            </w:r>
            <w:r>
              <w:rPr>
                <w:noProof/>
                <w:webHidden/>
              </w:rPr>
              <w:tab/>
            </w:r>
            <w:r>
              <w:rPr>
                <w:noProof/>
                <w:webHidden/>
              </w:rPr>
              <w:fldChar w:fldCharType="begin"/>
            </w:r>
            <w:r>
              <w:rPr>
                <w:noProof/>
                <w:webHidden/>
              </w:rPr>
              <w:instrText xml:space="preserve"> PAGEREF _Toc202452461 \h </w:instrText>
            </w:r>
            <w:r>
              <w:rPr>
                <w:noProof/>
                <w:webHidden/>
              </w:rPr>
            </w:r>
            <w:r>
              <w:rPr>
                <w:noProof/>
                <w:webHidden/>
              </w:rPr>
              <w:fldChar w:fldCharType="separate"/>
            </w:r>
            <w:r>
              <w:rPr>
                <w:noProof/>
                <w:webHidden/>
              </w:rPr>
              <w:t>15</w:t>
            </w:r>
            <w:r>
              <w:rPr>
                <w:noProof/>
                <w:webHidden/>
              </w:rPr>
              <w:fldChar w:fldCharType="end"/>
            </w:r>
          </w:hyperlink>
        </w:p>
        <w:p w14:paraId="43F6388D" w14:textId="0B63E74D" w:rsidR="00170E7C" w:rsidRDefault="00170E7C">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62" w:history="1">
            <w:r w:rsidRPr="005302B8">
              <w:rPr>
                <w:rStyle w:val="Hyperlink"/>
                <w:noProof/>
              </w:rPr>
              <w:t>9</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REFERENCES</w:t>
            </w:r>
            <w:r>
              <w:rPr>
                <w:noProof/>
                <w:webHidden/>
              </w:rPr>
              <w:tab/>
            </w:r>
            <w:r>
              <w:rPr>
                <w:noProof/>
                <w:webHidden/>
              </w:rPr>
              <w:fldChar w:fldCharType="begin"/>
            </w:r>
            <w:r>
              <w:rPr>
                <w:noProof/>
                <w:webHidden/>
              </w:rPr>
              <w:instrText xml:space="preserve"> PAGEREF _Toc202452462 \h </w:instrText>
            </w:r>
            <w:r>
              <w:rPr>
                <w:noProof/>
                <w:webHidden/>
              </w:rPr>
            </w:r>
            <w:r>
              <w:rPr>
                <w:noProof/>
                <w:webHidden/>
              </w:rPr>
              <w:fldChar w:fldCharType="separate"/>
            </w:r>
            <w:r>
              <w:rPr>
                <w:noProof/>
                <w:webHidden/>
              </w:rPr>
              <w:t>18</w:t>
            </w:r>
            <w:r>
              <w:rPr>
                <w:noProof/>
                <w:webHidden/>
              </w:rPr>
              <w:fldChar w:fldCharType="end"/>
            </w:r>
          </w:hyperlink>
        </w:p>
        <w:p w14:paraId="57E446FF" w14:textId="2963612A" w:rsidR="00170E7C" w:rsidRDefault="00170E7C">
          <w:pPr>
            <w:pStyle w:val="TOC1"/>
            <w:tabs>
              <w:tab w:val="left" w:pos="72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63" w:history="1">
            <w:r w:rsidRPr="005302B8">
              <w:rPr>
                <w:rStyle w:val="Hyperlink"/>
                <w:noProof/>
              </w:rPr>
              <w:t>10</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APPENDICES</w:t>
            </w:r>
            <w:r>
              <w:rPr>
                <w:noProof/>
                <w:webHidden/>
              </w:rPr>
              <w:tab/>
            </w:r>
            <w:r>
              <w:rPr>
                <w:noProof/>
                <w:webHidden/>
              </w:rPr>
              <w:fldChar w:fldCharType="begin"/>
            </w:r>
            <w:r>
              <w:rPr>
                <w:noProof/>
                <w:webHidden/>
              </w:rPr>
              <w:instrText xml:space="preserve"> PAGEREF _Toc202452463 \h </w:instrText>
            </w:r>
            <w:r>
              <w:rPr>
                <w:noProof/>
                <w:webHidden/>
              </w:rPr>
            </w:r>
            <w:r>
              <w:rPr>
                <w:noProof/>
                <w:webHidden/>
              </w:rPr>
              <w:fldChar w:fldCharType="separate"/>
            </w:r>
            <w:r>
              <w:rPr>
                <w:noProof/>
                <w:webHidden/>
              </w:rPr>
              <w:t>19</w:t>
            </w:r>
            <w:r>
              <w:rPr>
                <w:noProof/>
                <w:webHidden/>
              </w:rPr>
              <w:fldChar w:fldCharType="end"/>
            </w:r>
          </w:hyperlink>
        </w:p>
        <w:p w14:paraId="6B84934E" w14:textId="5D33695C" w:rsidR="00170E7C" w:rsidRDefault="00170E7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64" w:history="1">
            <w:r w:rsidRPr="005302B8">
              <w:rPr>
                <w:rStyle w:val="Hyperlink"/>
                <w:noProof/>
              </w:rPr>
              <w:t>10.1</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Appendix 1 Phlebitis Score</w:t>
            </w:r>
            <w:r>
              <w:rPr>
                <w:noProof/>
                <w:webHidden/>
              </w:rPr>
              <w:tab/>
            </w:r>
            <w:r>
              <w:rPr>
                <w:noProof/>
                <w:webHidden/>
              </w:rPr>
              <w:fldChar w:fldCharType="begin"/>
            </w:r>
            <w:r>
              <w:rPr>
                <w:noProof/>
                <w:webHidden/>
              </w:rPr>
              <w:instrText xml:space="preserve"> PAGEREF _Toc202452464 \h </w:instrText>
            </w:r>
            <w:r>
              <w:rPr>
                <w:noProof/>
                <w:webHidden/>
              </w:rPr>
            </w:r>
            <w:r>
              <w:rPr>
                <w:noProof/>
                <w:webHidden/>
              </w:rPr>
              <w:fldChar w:fldCharType="separate"/>
            </w:r>
            <w:r>
              <w:rPr>
                <w:noProof/>
                <w:webHidden/>
              </w:rPr>
              <w:t>19</w:t>
            </w:r>
            <w:r>
              <w:rPr>
                <w:noProof/>
                <w:webHidden/>
              </w:rPr>
              <w:fldChar w:fldCharType="end"/>
            </w:r>
          </w:hyperlink>
        </w:p>
        <w:p w14:paraId="5813FC0A" w14:textId="47BA1D46" w:rsidR="00170E7C" w:rsidRDefault="00170E7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452465" w:history="1">
            <w:r w:rsidRPr="005302B8">
              <w:rPr>
                <w:rStyle w:val="Hyperlink"/>
                <w:noProof/>
              </w:rPr>
              <w:t>10.2</w:t>
            </w:r>
            <w:r>
              <w:rPr>
                <w:rFonts w:asciiTheme="minorHAnsi" w:eastAsiaTheme="minorEastAsia" w:hAnsiTheme="minorHAnsi" w:cstheme="minorBidi"/>
                <w:noProof/>
                <w:kern w:val="2"/>
                <w:sz w:val="24"/>
                <w:lang w:val="en-GB" w:eastAsia="en-GB"/>
                <w14:ligatures w14:val="standardContextual"/>
              </w:rPr>
              <w:tab/>
            </w:r>
            <w:r w:rsidRPr="005302B8">
              <w:rPr>
                <w:rStyle w:val="Hyperlink"/>
                <w:noProof/>
              </w:rPr>
              <w:t>Appendix 2 Injection Sites for IM and Subcutaneous</w:t>
            </w:r>
            <w:r>
              <w:rPr>
                <w:noProof/>
                <w:webHidden/>
              </w:rPr>
              <w:tab/>
            </w:r>
            <w:r>
              <w:rPr>
                <w:noProof/>
                <w:webHidden/>
              </w:rPr>
              <w:fldChar w:fldCharType="begin"/>
            </w:r>
            <w:r>
              <w:rPr>
                <w:noProof/>
                <w:webHidden/>
              </w:rPr>
              <w:instrText xml:space="preserve"> PAGEREF _Toc202452465 \h </w:instrText>
            </w:r>
            <w:r>
              <w:rPr>
                <w:noProof/>
                <w:webHidden/>
              </w:rPr>
            </w:r>
            <w:r>
              <w:rPr>
                <w:noProof/>
                <w:webHidden/>
              </w:rPr>
              <w:fldChar w:fldCharType="separate"/>
            </w:r>
            <w:r>
              <w:rPr>
                <w:noProof/>
                <w:webHidden/>
              </w:rPr>
              <w:t>20</w:t>
            </w:r>
            <w:r>
              <w:rPr>
                <w:noProof/>
                <w:webHidden/>
              </w:rPr>
              <w:fldChar w:fldCharType="end"/>
            </w:r>
          </w:hyperlink>
        </w:p>
        <w:p w14:paraId="4B5C883B" w14:textId="11B8EA45" w:rsidR="00790710" w:rsidRPr="00856DE7" w:rsidRDefault="00790710">
          <w:pPr>
            <w:rPr>
              <w:rFonts w:cs="Arial"/>
            </w:rPr>
          </w:pPr>
          <w:r w:rsidRPr="00856DE7">
            <w:rPr>
              <w:rFonts w:cs="Arial"/>
              <w:b/>
              <w:bCs/>
              <w:noProof/>
            </w:rPr>
            <w:fldChar w:fldCharType="end"/>
          </w:r>
        </w:p>
      </w:sdtContent>
    </w:sdt>
    <w:p w14:paraId="023A7938" w14:textId="77777777" w:rsidR="0069423A" w:rsidRPr="00856DE7" w:rsidRDefault="0069423A" w:rsidP="005351FA">
      <w:pPr>
        <w:rPr>
          <w:rFonts w:cs="Arial"/>
        </w:rPr>
      </w:pPr>
    </w:p>
    <w:p w14:paraId="1848FBD0" w14:textId="77777777" w:rsidR="00856DE7" w:rsidRDefault="00856DE7" w:rsidP="005351FA">
      <w:pPr>
        <w:rPr>
          <w:rFonts w:cs="Arial"/>
        </w:rPr>
        <w:sectPr w:rsidR="00856DE7" w:rsidSect="002006AD">
          <w:pgSz w:w="11906" w:h="16838"/>
          <w:pgMar w:top="1440" w:right="1440" w:bottom="1135" w:left="1440" w:header="708" w:footer="220" w:gutter="0"/>
          <w:cols w:space="708"/>
          <w:titlePg/>
          <w:docGrid w:linePitch="360"/>
        </w:sectPr>
      </w:pPr>
    </w:p>
    <w:p w14:paraId="42F12352" w14:textId="77777777" w:rsidR="00101BBD" w:rsidRDefault="0069423A" w:rsidP="00A33A94">
      <w:pPr>
        <w:pStyle w:val="Heading1"/>
      </w:pPr>
      <w:bookmarkStart w:id="0" w:name="_Toc202452431"/>
      <w:r w:rsidRPr="00A33A94">
        <w:lastRenderedPageBreak/>
        <w:t>INTRODUCTION</w:t>
      </w:r>
      <w:bookmarkEnd w:id="0"/>
    </w:p>
    <w:p w14:paraId="59F5BD41" w14:textId="4964BB82" w:rsidR="00BD2FAF" w:rsidRDefault="004E0EC1" w:rsidP="00BD2FAF">
      <w:r>
        <w:t>The use of injectable medication has many healthcare benefits for patients.  The complexities associated with prescribing, preparing and ad</w:t>
      </w:r>
      <w:r w:rsidR="004A1A14">
        <w:t xml:space="preserve">ministering injectable medicines </w:t>
      </w:r>
      <w:proofErr w:type="gramStart"/>
      <w:r w:rsidR="004A1A14">
        <w:t>means</w:t>
      </w:r>
      <w:proofErr w:type="gramEnd"/>
      <w:r w:rsidR="004A1A14">
        <w:t xml:space="preserve"> that there are greater potential risks for children and young people in comparison to other routes of administ</w:t>
      </w:r>
      <w:r w:rsidR="00105ABF">
        <w:t>ration.</w:t>
      </w:r>
    </w:p>
    <w:p w14:paraId="46D1237E" w14:textId="28AA4D4B" w:rsidR="00105ABF" w:rsidRPr="00BD2FAF" w:rsidRDefault="00105ABF" w:rsidP="00BD2FAF">
      <w:r>
        <w:t xml:space="preserve">NPSA alert 20 – Promoting safer use of injectable medicines (2007) – requires healthcare </w:t>
      </w:r>
      <w:proofErr w:type="spellStart"/>
      <w:r>
        <w:t>organisations</w:t>
      </w:r>
      <w:proofErr w:type="spellEnd"/>
      <w:r>
        <w:t xml:space="preserve"> to implement Stan</w:t>
      </w:r>
      <w:r w:rsidR="007C0D05">
        <w:t>dard Operating Procedures (SOPs) covering all aspects of the handling of injectable medicines.  The procedures in this Policy are to be followed by staff</w:t>
      </w:r>
      <w:r w:rsidR="55CCACA6">
        <w:t>, with reference to NMC standards (2018)</w:t>
      </w:r>
      <w:r w:rsidR="00480E73">
        <w:t xml:space="preserve">.  </w:t>
      </w:r>
    </w:p>
    <w:p w14:paraId="37E4D994" w14:textId="77777777" w:rsidR="00635894" w:rsidRDefault="0069423A" w:rsidP="00AA26D2">
      <w:pPr>
        <w:pStyle w:val="Heading2"/>
      </w:pPr>
      <w:bookmarkStart w:id="1" w:name="_Toc202452432"/>
      <w:r w:rsidRPr="00AA26D2">
        <w:t>Rationale</w:t>
      </w:r>
      <w:bookmarkEnd w:id="1"/>
    </w:p>
    <w:p w14:paraId="7BEE216F" w14:textId="31C89D67" w:rsidR="009D521B" w:rsidRPr="009D521B" w:rsidRDefault="00173C06" w:rsidP="009D521B">
      <w:r>
        <w:t>This Policy provides a framework that promotes the principles of the NPSA Alert 20 with the aim of reducing the risks to patients of injectable medicine use within FNHC.</w:t>
      </w:r>
    </w:p>
    <w:p w14:paraId="693247D0" w14:textId="77777777" w:rsidR="00635894" w:rsidRDefault="0069423A" w:rsidP="00AA26D2">
      <w:pPr>
        <w:pStyle w:val="Heading2"/>
      </w:pPr>
      <w:bookmarkStart w:id="2" w:name="_Toc202452433"/>
      <w:r w:rsidRPr="00AA26D2">
        <w:t>Scope</w:t>
      </w:r>
      <w:bookmarkEnd w:id="2"/>
    </w:p>
    <w:p w14:paraId="2FDC8C2A" w14:textId="49691440" w:rsidR="00173C06" w:rsidRDefault="00173C06" w:rsidP="00173C06">
      <w:r>
        <w:t xml:space="preserve">This Policy is for use by the Community </w:t>
      </w:r>
      <w:r w:rsidR="002E18E8">
        <w:t xml:space="preserve">Children’s </w:t>
      </w:r>
      <w:r>
        <w:t>Nursing Team and School Nursing Team</w:t>
      </w:r>
      <w:r w:rsidR="002E18E8">
        <w:t xml:space="preserve">. However, </w:t>
      </w:r>
      <w:r w:rsidR="00F33FF5">
        <w:t xml:space="preserve">its use extends to all Child and Family Service Registered Nurses and Clinical Support Staff required to carry out the administration of an injectable medicine as part of their role.  It covers </w:t>
      </w:r>
      <w:proofErr w:type="gramStart"/>
      <w:r w:rsidR="00F33FF5">
        <w:t>the risk</w:t>
      </w:r>
      <w:proofErr w:type="gramEnd"/>
      <w:r w:rsidR="00F33FF5">
        <w:t xml:space="preserve"> assessment when pre</w:t>
      </w:r>
      <w:r w:rsidR="00986CE8">
        <w:t xml:space="preserve">paring and administering injectable medicines to children and young people requiring medication via an injectable route. </w:t>
      </w:r>
      <w:proofErr w:type="gramStart"/>
      <w:r w:rsidR="00986CE8">
        <w:t>Injectable</w:t>
      </w:r>
      <w:proofErr w:type="gramEnd"/>
      <w:r w:rsidR="00986CE8">
        <w:t xml:space="preserve"> routes covered in this Policy are:</w:t>
      </w:r>
    </w:p>
    <w:p w14:paraId="67776232" w14:textId="46785C19" w:rsidR="003828DD" w:rsidRDefault="003828DD" w:rsidP="003828DD">
      <w:pPr>
        <w:pStyle w:val="ListParagraph"/>
        <w:numPr>
          <w:ilvl w:val="0"/>
          <w:numId w:val="28"/>
        </w:numPr>
      </w:pPr>
      <w:r>
        <w:t>Intramuscular</w:t>
      </w:r>
    </w:p>
    <w:p w14:paraId="3DDA04E3" w14:textId="39B89064" w:rsidR="003828DD" w:rsidRDefault="003828DD" w:rsidP="003828DD">
      <w:pPr>
        <w:pStyle w:val="ListParagraph"/>
        <w:numPr>
          <w:ilvl w:val="0"/>
          <w:numId w:val="28"/>
        </w:numPr>
      </w:pPr>
      <w:r>
        <w:t>Subcutaneous</w:t>
      </w:r>
    </w:p>
    <w:p w14:paraId="672261E1" w14:textId="1B10CB1D" w:rsidR="003828DD" w:rsidRDefault="003828DD" w:rsidP="003828DD">
      <w:pPr>
        <w:pStyle w:val="ListParagraph"/>
        <w:numPr>
          <w:ilvl w:val="0"/>
          <w:numId w:val="28"/>
        </w:numPr>
      </w:pPr>
      <w:r>
        <w:t>Intr</w:t>
      </w:r>
      <w:r w:rsidR="001F491D">
        <w:t>a</w:t>
      </w:r>
      <w:r>
        <w:t>venous</w:t>
      </w:r>
    </w:p>
    <w:p w14:paraId="56399062" w14:textId="556D72E2" w:rsidR="003828DD" w:rsidRDefault="003828DD" w:rsidP="003828DD">
      <w:pPr>
        <w:rPr>
          <w:b/>
          <w:bCs/>
        </w:rPr>
      </w:pPr>
      <w:r>
        <w:t xml:space="preserve">Injectable medicines </w:t>
      </w:r>
      <w:r w:rsidR="001F491D">
        <w:rPr>
          <w:b/>
          <w:bCs/>
        </w:rPr>
        <w:t>not covered within this Policy are:</w:t>
      </w:r>
    </w:p>
    <w:p w14:paraId="5C17E1EF" w14:textId="61FC51FF" w:rsidR="001F491D" w:rsidRDefault="006825EA" w:rsidP="001F491D">
      <w:pPr>
        <w:pStyle w:val="ListParagraph"/>
        <w:numPr>
          <w:ilvl w:val="0"/>
          <w:numId w:val="29"/>
        </w:numPr>
      </w:pPr>
      <w:r>
        <w:t>Intrathecal</w:t>
      </w:r>
    </w:p>
    <w:p w14:paraId="346FFE69" w14:textId="090D3070" w:rsidR="006825EA" w:rsidRDefault="006825EA" w:rsidP="001F491D">
      <w:pPr>
        <w:pStyle w:val="ListParagraph"/>
        <w:numPr>
          <w:ilvl w:val="0"/>
          <w:numId w:val="29"/>
        </w:numPr>
      </w:pPr>
      <w:r>
        <w:t>Epidural</w:t>
      </w:r>
    </w:p>
    <w:p w14:paraId="60978C35" w14:textId="6856006D" w:rsidR="006825EA" w:rsidRDefault="006825EA" w:rsidP="001F491D">
      <w:pPr>
        <w:pStyle w:val="ListParagraph"/>
        <w:numPr>
          <w:ilvl w:val="0"/>
          <w:numId w:val="29"/>
        </w:numPr>
      </w:pPr>
      <w:r>
        <w:t>Other routes such as intra-arterial, intraventricular, intravitreal, intrapleural and intraocular.</w:t>
      </w:r>
    </w:p>
    <w:p w14:paraId="35A02AA8" w14:textId="31689C52" w:rsidR="006825EA" w:rsidRPr="001F491D" w:rsidRDefault="006825EA" w:rsidP="006825EA">
      <w:r>
        <w:t xml:space="preserve">It is expected that all members of the multidisciplinary team who may be involved </w:t>
      </w:r>
      <w:r w:rsidR="003C3F9A">
        <w:t>in any part of the medicines trail with the administration of injectable medicines familiarize themselves with the content.</w:t>
      </w:r>
    </w:p>
    <w:p w14:paraId="35F5CBF9" w14:textId="77777777" w:rsidR="00546198" w:rsidRDefault="00546198" w:rsidP="00AA26D2">
      <w:pPr>
        <w:pStyle w:val="Heading2"/>
      </w:pPr>
      <w:bookmarkStart w:id="3" w:name="_Toc202452434"/>
      <w:r w:rsidRPr="00856DE7">
        <w:t xml:space="preserve">Role </w:t>
      </w:r>
      <w:r w:rsidRPr="00AA26D2">
        <w:t>and</w:t>
      </w:r>
      <w:r w:rsidRPr="00856DE7">
        <w:t xml:space="preserve"> Responsibilities</w:t>
      </w:r>
      <w:bookmarkEnd w:id="3"/>
    </w:p>
    <w:p w14:paraId="627A78E9" w14:textId="412DCC94" w:rsidR="00913B7B" w:rsidRDefault="00913B7B" w:rsidP="00BD1CF5">
      <w:pPr>
        <w:pStyle w:val="Heading3"/>
      </w:pPr>
      <w:bookmarkStart w:id="4" w:name="_Toc202452435"/>
      <w:r w:rsidRPr="00913B7B">
        <w:t>The Chief Executive Officer (CEO)</w:t>
      </w:r>
      <w:bookmarkEnd w:id="4"/>
    </w:p>
    <w:p w14:paraId="6527C141" w14:textId="5D991093" w:rsidR="00BD1CF5" w:rsidRDefault="00BD1CF5" w:rsidP="00BD1CF5">
      <w:r>
        <w:t>The CEO has overall responsibility for</w:t>
      </w:r>
      <w:r w:rsidR="00871A50">
        <w:t>:</w:t>
      </w:r>
    </w:p>
    <w:p w14:paraId="2DA2EDD0" w14:textId="09C7FA56" w:rsidR="00871A50" w:rsidRDefault="00871A50" w:rsidP="00871A50">
      <w:pPr>
        <w:pStyle w:val="ListParagraph"/>
        <w:numPr>
          <w:ilvl w:val="0"/>
          <w:numId w:val="30"/>
        </w:numPr>
      </w:pPr>
      <w:r>
        <w:lastRenderedPageBreak/>
        <w:t xml:space="preserve">The requirements for using this Policy are met and that </w:t>
      </w:r>
      <w:r w:rsidR="00A930D0">
        <w:t>adequate resources are made available to meet these requirements.</w:t>
      </w:r>
    </w:p>
    <w:p w14:paraId="16BD72FC" w14:textId="1C015362" w:rsidR="00A930D0" w:rsidRDefault="00A930D0" w:rsidP="00871A50">
      <w:pPr>
        <w:pStyle w:val="ListParagraph"/>
        <w:numPr>
          <w:ilvl w:val="0"/>
          <w:numId w:val="30"/>
        </w:numPr>
      </w:pPr>
      <w:r>
        <w:t>Arrangements are in place for safe administration of injectable medicines.</w:t>
      </w:r>
    </w:p>
    <w:p w14:paraId="69E628D9" w14:textId="7161CD01" w:rsidR="00A930D0" w:rsidRDefault="00A930D0" w:rsidP="00871A50">
      <w:pPr>
        <w:pStyle w:val="ListParagraph"/>
        <w:numPr>
          <w:ilvl w:val="0"/>
          <w:numId w:val="30"/>
        </w:numPr>
      </w:pPr>
      <w:r>
        <w:t xml:space="preserve">Any systems in place are </w:t>
      </w:r>
      <w:r w:rsidR="00031B25">
        <w:t>the subject of periodic review by Management.</w:t>
      </w:r>
    </w:p>
    <w:p w14:paraId="0D6BA98D" w14:textId="68B6C6ED" w:rsidR="00031B25" w:rsidRDefault="2CF1BDE1" w:rsidP="00223650">
      <w:pPr>
        <w:pStyle w:val="Heading3"/>
      </w:pPr>
      <w:bookmarkStart w:id="5" w:name="_Toc202452436"/>
      <w:r>
        <w:t>Operational Lead</w:t>
      </w:r>
      <w:bookmarkEnd w:id="5"/>
    </w:p>
    <w:p w14:paraId="31A71C02" w14:textId="372F6EED" w:rsidR="00223650" w:rsidRDefault="00223650" w:rsidP="00223650">
      <w:r>
        <w:t>The Operational Lead is responsible for:</w:t>
      </w:r>
    </w:p>
    <w:p w14:paraId="137FB5D0" w14:textId="4F1C7ADA" w:rsidR="00223650" w:rsidRDefault="00223650" w:rsidP="00223650">
      <w:pPr>
        <w:pStyle w:val="ListParagraph"/>
        <w:numPr>
          <w:ilvl w:val="0"/>
          <w:numId w:val="31"/>
        </w:numPr>
      </w:pPr>
      <w:r>
        <w:t>Implementing this Policy, associated guidelines and SOPs within their areas.</w:t>
      </w:r>
    </w:p>
    <w:p w14:paraId="6453567E" w14:textId="340A0872" w:rsidR="00223650" w:rsidRDefault="00223650" w:rsidP="00223650">
      <w:pPr>
        <w:pStyle w:val="ListParagraph"/>
        <w:numPr>
          <w:ilvl w:val="0"/>
          <w:numId w:val="31"/>
        </w:numPr>
      </w:pPr>
      <w:r>
        <w:t>Monitoring compliance with the requirements of this Policy</w:t>
      </w:r>
    </w:p>
    <w:p w14:paraId="4D515BB2" w14:textId="0C0D04BB" w:rsidR="00223650" w:rsidRDefault="00560EB9" w:rsidP="00560EB9">
      <w:pPr>
        <w:pStyle w:val="Heading3"/>
      </w:pPr>
      <w:bookmarkStart w:id="6" w:name="_Toc202452437"/>
      <w:r w:rsidRPr="00560EB9">
        <w:t>Line Managers/Team Leaders</w:t>
      </w:r>
      <w:bookmarkEnd w:id="6"/>
    </w:p>
    <w:p w14:paraId="4B3359E8" w14:textId="44385813" w:rsidR="00560EB9" w:rsidRDefault="009A4BBF" w:rsidP="00560EB9">
      <w:pPr>
        <w:pStyle w:val="ListParagraph"/>
        <w:numPr>
          <w:ilvl w:val="0"/>
          <w:numId w:val="31"/>
        </w:numPr>
      </w:pPr>
      <w:r>
        <w:t>Those in charge of clinical areas/Line Managers/Team Leaders have a responsibility to ensure that all staff are aware of this Policy and to encourage and monitor compliance</w:t>
      </w:r>
      <w:r w:rsidR="005B10D4">
        <w:t xml:space="preserve"> with it and its guidelines, protocols and procedures.</w:t>
      </w:r>
      <w:r w:rsidR="3E6F5288">
        <w:t xml:space="preserve"> Enable staff to access relevant training and assess </w:t>
      </w:r>
      <w:r w:rsidR="34E2D761">
        <w:t xml:space="preserve">staff </w:t>
      </w:r>
      <w:r w:rsidR="3E6F5288">
        <w:t>competenc</w:t>
      </w:r>
      <w:r w:rsidR="55F8D371">
        <w:t>y</w:t>
      </w:r>
      <w:r w:rsidR="2875C4B3">
        <w:t>.</w:t>
      </w:r>
    </w:p>
    <w:p w14:paraId="496039A6" w14:textId="59A00CEA" w:rsidR="005B10D4" w:rsidRDefault="005B10D4" w:rsidP="0095718F">
      <w:pPr>
        <w:pStyle w:val="Heading3"/>
      </w:pPr>
      <w:bookmarkStart w:id="7" w:name="_Toc202452438"/>
      <w:r w:rsidRPr="005B10D4">
        <w:t>Registered Nurses.</w:t>
      </w:r>
      <w:bookmarkEnd w:id="7"/>
    </w:p>
    <w:p w14:paraId="2DF636C6" w14:textId="427B5665" w:rsidR="0095718F" w:rsidRDefault="001D117F" w:rsidP="0095718F">
      <w:r>
        <w:t>All Registered Nurses are responsible for:</w:t>
      </w:r>
    </w:p>
    <w:p w14:paraId="079ADE7C" w14:textId="629A7B2A" w:rsidR="001D117F" w:rsidRDefault="001D117F" w:rsidP="001D117F">
      <w:pPr>
        <w:pStyle w:val="ListParagraph"/>
        <w:numPr>
          <w:ilvl w:val="0"/>
          <w:numId w:val="32"/>
        </w:numPr>
      </w:pPr>
      <w:r>
        <w:t>Promoting and safeguarding the interests and wellbeing of the child and young person.</w:t>
      </w:r>
    </w:p>
    <w:p w14:paraId="0A5C7E0D" w14:textId="3390F371" w:rsidR="001D117F" w:rsidRDefault="001D117F" w:rsidP="001D117F">
      <w:pPr>
        <w:pStyle w:val="ListParagraph"/>
        <w:numPr>
          <w:ilvl w:val="0"/>
          <w:numId w:val="32"/>
        </w:numPr>
      </w:pPr>
      <w:r>
        <w:t>Ensuring that no action or omission on their part, or within their sphere of responsibility, is detrimental to the interests, condition or safety of the child or young person.</w:t>
      </w:r>
    </w:p>
    <w:p w14:paraId="2E53AA96" w14:textId="7B44593B" w:rsidR="001D117F" w:rsidRDefault="001D117F" w:rsidP="001D117F">
      <w:pPr>
        <w:pStyle w:val="ListParagraph"/>
        <w:numPr>
          <w:ilvl w:val="0"/>
          <w:numId w:val="32"/>
        </w:numPr>
      </w:pPr>
      <w:r>
        <w:t xml:space="preserve">Acknowledging any limitations in their knowledge and competence and </w:t>
      </w:r>
      <w:proofErr w:type="gramStart"/>
      <w:r>
        <w:t>decline</w:t>
      </w:r>
      <w:proofErr w:type="gramEnd"/>
      <w:r>
        <w:t xml:space="preserve"> any duties or responsibilities unless able to perform them in a safe manner.</w:t>
      </w:r>
    </w:p>
    <w:p w14:paraId="560F72F1" w14:textId="5971814C" w:rsidR="001D117F" w:rsidRDefault="001D117F" w:rsidP="001D117F">
      <w:pPr>
        <w:pStyle w:val="ListParagraph"/>
        <w:numPr>
          <w:ilvl w:val="0"/>
          <w:numId w:val="32"/>
        </w:numPr>
      </w:pPr>
      <w:r>
        <w:t>Reading, understanding and following this Policy and the associated SOP’s</w:t>
      </w:r>
    </w:p>
    <w:p w14:paraId="531E8AE3" w14:textId="12FCE1E9" w:rsidR="001D117F" w:rsidRDefault="001E0395" w:rsidP="001D117F">
      <w:pPr>
        <w:pStyle w:val="ListParagraph"/>
        <w:numPr>
          <w:ilvl w:val="0"/>
          <w:numId w:val="32"/>
        </w:numPr>
      </w:pPr>
      <w:r>
        <w:t>Completing appropriate training to carry out the procedures.</w:t>
      </w:r>
    </w:p>
    <w:p w14:paraId="09B760B1" w14:textId="323D1EA2" w:rsidR="001E0395" w:rsidRDefault="001E0395" w:rsidP="001D117F">
      <w:pPr>
        <w:pStyle w:val="ListParagraph"/>
        <w:numPr>
          <w:ilvl w:val="0"/>
          <w:numId w:val="32"/>
        </w:numPr>
      </w:pPr>
      <w:r>
        <w:t>Ensuring maintenance of work competencies to undertake the prescribing, preparation, administration and monitoring of injectable medicines as appropriate to role.</w:t>
      </w:r>
    </w:p>
    <w:p w14:paraId="6C221602" w14:textId="53990F43" w:rsidR="001E0395" w:rsidRDefault="00C54D09" w:rsidP="001D117F">
      <w:pPr>
        <w:pStyle w:val="ListParagraph"/>
        <w:numPr>
          <w:ilvl w:val="0"/>
          <w:numId w:val="32"/>
        </w:numPr>
      </w:pPr>
      <w:r>
        <w:t>C</w:t>
      </w:r>
      <w:r w:rsidR="001E0395">
        <w:t>onsulting</w:t>
      </w:r>
      <w:r>
        <w:t xml:space="preserve"> with another Registered Nurse with appropriate competence for an independent check, where complex calculations are required (</w:t>
      </w:r>
      <w:proofErr w:type="spellStart"/>
      <w:r>
        <w:t>recogni</w:t>
      </w:r>
      <w:r w:rsidR="00A868E6">
        <w:t>sing</w:t>
      </w:r>
      <w:proofErr w:type="spellEnd"/>
      <w:r w:rsidR="00A868E6">
        <w:t xml:space="preserve"> that this check may need to be undertaken externally/off-site/remotely)</w:t>
      </w:r>
    </w:p>
    <w:p w14:paraId="2E6D9B03" w14:textId="46BA6BF7" w:rsidR="00A868E6" w:rsidRDefault="00A868E6" w:rsidP="001D117F">
      <w:pPr>
        <w:pStyle w:val="ListParagraph"/>
        <w:numPr>
          <w:ilvl w:val="0"/>
          <w:numId w:val="32"/>
        </w:numPr>
      </w:pPr>
      <w:r>
        <w:t>Decisions to delegate tasks and duties to other people</w:t>
      </w:r>
    </w:p>
    <w:p w14:paraId="5F2C1893" w14:textId="043D4E87" w:rsidR="00A868E6" w:rsidRDefault="00A868E6" w:rsidP="001D117F">
      <w:pPr>
        <w:pStyle w:val="ListParagraph"/>
        <w:numPr>
          <w:ilvl w:val="0"/>
          <w:numId w:val="32"/>
        </w:numPr>
      </w:pPr>
      <w:r>
        <w:t>Avoiding any improper delegation to others, which compromises the interests, wellbeing or safety of the child or young person.</w:t>
      </w:r>
      <w:r w:rsidR="574B6986">
        <w:t xml:space="preserve"> (NMC 2018)</w:t>
      </w:r>
    </w:p>
    <w:p w14:paraId="5D4F8F05" w14:textId="0ED4E3DC" w:rsidR="0010606C" w:rsidRDefault="0010606C" w:rsidP="007506CE">
      <w:pPr>
        <w:pStyle w:val="Heading3"/>
      </w:pPr>
      <w:bookmarkStart w:id="8" w:name="_Toc202452439"/>
      <w:r>
        <w:t>Non-Registered Clinical Support Staff</w:t>
      </w:r>
      <w:bookmarkEnd w:id="8"/>
    </w:p>
    <w:p w14:paraId="118DFAA2" w14:textId="43D5F86F" w:rsidR="007506CE" w:rsidRDefault="007506CE" w:rsidP="007506CE">
      <w:r>
        <w:t>Non-registered Clinical Support Staff are responsible for:</w:t>
      </w:r>
    </w:p>
    <w:p w14:paraId="1A14CC3D" w14:textId="278D043E" w:rsidR="007506CE" w:rsidRDefault="007506CE" w:rsidP="007506CE">
      <w:pPr>
        <w:pStyle w:val="ListParagraph"/>
        <w:numPr>
          <w:ilvl w:val="0"/>
          <w:numId w:val="33"/>
        </w:numPr>
      </w:pPr>
      <w:r>
        <w:t xml:space="preserve">Working within the framework of delegation to </w:t>
      </w:r>
      <w:r w:rsidR="005C5F6E">
        <w:t>non-registrants</w:t>
      </w:r>
      <w:r w:rsidR="00686732">
        <w:t>.</w:t>
      </w:r>
    </w:p>
    <w:p w14:paraId="1347492C" w14:textId="2CC78660" w:rsidR="00686732" w:rsidRDefault="00686732" w:rsidP="007506CE">
      <w:pPr>
        <w:pStyle w:val="ListParagraph"/>
        <w:numPr>
          <w:ilvl w:val="0"/>
          <w:numId w:val="33"/>
        </w:numPr>
      </w:pPr>
      <w:r>
        <w:t>Undertaking the specified training and competency assessment for the specifi</w:t>
      </w:r>
      <w:r w:rsidR="005F590A">
        <w:t>ed training for an individual child or young person and a competency assessment at local level in relation to the task performed.</w:t>
      </w:r>
    </w:p>
    <w:p w14:paraId="6CE1FECD" w14:textId="34FD120E" w:rsidR="005F590A" w:rsidRDefault="005F590A" w:rsidP="007506CE">
      <w:pPr>
        <w:pStyle w:val="ListParagraph"/>
        <w:numPr>
          <w:ilvl w:val="0"/>
          <w:numId w:val="33"/>
        </w:numPr>
      </w:pPr>
      <w:r>
        <w:lastRenderedPageBreak/>
        <w:t>Remaining under direct supervision of a Registered Nurse while competency is being assessed.</w:t>
      </w:r>
    </w:p>
    <w:p w14:paraId="02C18D3A" w14:textId="40B82DD1" w:rsidR="005F590A" w:rsidRDefault="005F590A" w:rsidP="005F590A">
      <w:r>
        <w:t xml:space="preserve">All staff are responsible for reporting ‘near </w:t>
      </w:r>
      <w:proofErr w:type="gramStart"/>
      <w:r>
        <w:t>misses’</w:t>
      </w:r>
      <w:proofErr w:type="gramEnd"/>
      <w:r>
        <w:t xml:space="preserve"> and clinical incidents</w:t>
      </w:r>
      <w:r w:rsidR="00017FF4">
        <w:t xml:space="preserve"> regarding the prescribing, dispensing and administration of medicines via the incident reporting system ASSURE. Report all potential adverse incidents in</w:t>
      </w:r>
      <w:r w:rsidR="007538E5">
        <w:t xml:space="preserve"> line with the FNHC incident reporting procedures.</w:t>
      </w:r>
    </w:p>
    <w:p w14:paraId="62AF804D" w14:textId="2700BB5A" w:rsidR="0005504B" w:rsidRDefault="0005504B" w:rsidP="0005504B">
      <w:pPr>
        <w:pStyle w:val="Heading3"/>
      </w:pPr>
      <w:bookmarkStart w:id="9" w:name="_Toc202452440"/>
      <w:r w:rsidRPr="0005504B">
        <w:t>Student Nurses</w:t>
      </w:r>
      <w:bookmarkEnd w:id="9"/>
    </w:p>
    <w:p w14:paraId="78D88F5C" w14:textId="3F095545" w:rsidR="0005504B" w:rsidRDefault="00D53215" w:rsidP="0005504B">
      <w:r>
        <w:t xml:space="preserve">Student Nurses who are undertaking part of their training with FNHC must be given every opportunity to become proficient in medicines related </w:t>
      </w:r>
      <w:r w:rsidR="00793585">
        <w:t>activities under appropriate supervision (NMC 2018).</w:t>
      </w:r>
    </w:p>
    <w:p w14:paraId="2E4A000E" w14:textId="72EBC948" w:rsidR="00793585" w:rsidRDefault="00793585" w:rsidP="0005504B">
      <w:r>
        <w:t>When supervising a student in the administration of injectable medicine</w:t>
      </w:r>
      <w:r w:rsidR="006507CA">
        <w:t>s</w:t>
      </w:r>
      <w:r>
        <w:t>, the same principles regarding delegation and accountability apply.  Registrants must clearly countersign the student’s signature</w:t>
      </w:r>
      <w:r w:rsidR="001D5E1F">
        <w:t xml:space="preserve"> </w:t>
      </w:r>
      <w:r w:rsidR="788FBDCC">
        <w:t xml:space="preserve">on the </w:t>
      </w:r>
      <w:r w:rsidR="005C7C47">
        <w:t>patient’s</w:t>
      </w:r>
      <w:r w:rsidR="788FBDCC">
        <w:t xml:space="preserve"> drug chart and ensure this document is scanned onto EMIS.</w:t>
      </w:r>
      <w:r w:rsidR="001D5E1F">
        <w:t xml:space="preserve">  Student Nurses will remain under the direct and constant supervision of a Registered Nurse.</w:t>
      </w:r>
    </w:p>
    <w:p w14:paraId="3951AFCE" w14:textId="77777777" w:rsidR="00B850FE" w:rsidRPr="00856DE7" w:rsidRDefault="00942F86" w:rsidP="00A50DC5">
      <w:pPr>
        <w:pStyle w:val="Heading1"/>
        <w:ind w:hanging="530"/>
      </w:pPr>
      <w:bookmarkStart w:id="10" w:name="_Toc202452441"/>
      <w:r w:rsidRPr="00856DE7">
        <w:t>POLICY</w:t>
      </w:r>
      <w:bookmarkEnd w:id="10"/>
    </w:p>
    <w:p w14:paraId="5ED64772" w14:textId="27B7A7BE" w:rsidR="00796F5C" w:rsidRDefault="00074C1A" w:rsidP="00A33A94">
      <w:r>
        <w:t xml:space="preserve">Injectable medicines should be prepared, administered and monitored only by healthcare staff and understand the risks involved, </w:t>
      </w:r>
      <w:r w:rsidR="00DC6513">
        <w:t>have been trained to use safe procedures, and have demonstrated their competence for the task</w:t>
      </w:r>
      <w:r w:rsidR="00E20B52">
        <w:t>.</w:t>
      </w:r>
    </w:p>
    <w:p w14:paraId="77365758" w14:textId="6DD2AA5B" w:rsidR="00DC6513" w:rsidRDefault="00DC6513" w:rsidP="00A33A94">
      <w:r>
        <w:t xml:space="preserve">This Policy is a supplement to the current </w:t>
      </w:r>
      <w:proofErr w:type="gramStart"/>
      <w:r>
        <w:t>version</w:t>
      </w:r>
      <w:proofErr w:type="gramEnd"/>
      <w:r>
        <w:t xml:space="preserve"> FNHC Medicines Policy and is to be read in conjunction with that Policy.  All registered practitioners administering inject</w:t>
      </w:r>
      <w:r w:rsidR="00341502">
        <w:t>able medicines should draw their attention to the Critical Medicines List</w:t>
      </w:r>
      <w:r w:rsidR="002E02E9">
        <w:t xml:space="preserve"> when risk assessing the patient for the prescribed treatment.</w:t>
      </w:r>
    </w:p>
    <w:p w14:paraId="7EF1DA74" w14:textId="1EBD432D" w:rsidR="008E209D" w:rsidRDefault="008E209D" w:rsidP="00A33A94">
      <w:r>
        <w:t>All aspects of the handling and administration of injectable medicines are safe and in accordance with good practice, including:</w:t>
      </w:r>
    </w:p>
    <w:p w14:paraId="30325FE2" w14:textId="16C81359" w:rsidR="008E209D" w:rsidRPr="00FB2133" w:rsidRDefault="00FB2133" w:rsidP="008E209D">
      <w:pPr>
        <w:pStyle w:val="ListParagraph"/>
        <w:numPr>
          <w:ilvl w:val="0"/>
          <w:numId w:val="34"/>
        </w:numPr>
        <w:rPr>
          <w:i/>
        </w:rPr>
      </w:pPr>
      <w:r>
        <w:rPr>
          <w:iCs/>
        </w:rPr>
        <w:t>Injectable medicines are prescribed correctly and appropriately</w:t>
      </w:r>
    </w:p>
    <w:p w14:paraId="1B2B57CD" w14:textId="7606FFB5" w:rsidR="00FB2133" w:rsidRPr="00FB2133" w:rsidRDefault="00FB2133" w:rsidP="008E209D">
      <w:pPr>
        <w:pStyle w:val="ListParagraph"/>
        <w:numPr>
          <w:ilvl w:val="0"/>
          <w:numId w:val="34"/>
        </w:numPr>
        <w:rPr>
          <w:i/>
        </w:rPr>
      </w:pPr>
      <w:r>
        <w:rPr>
          <w:iCs/>
        </w:rPr>
        <w:t>Injectable medicines are accurately, appropriately and safely prepared</w:t>
      </w:r>
    </w:p>
    <w:p w14:paraId="04EC19A6" w14:textId="0205BE04" w:rsidR="00FB2133" w:rsidRPr="004F7437" w:rsidRDefault="00FB2133" w:rsidP="008E209D">
      <w:pPr>
        <w:pStyle w:val="ListParagraph"/>
        <w:numPr>
          <w:ilvl w:val="0"/>
          <w:numId w:val="34"/>
        </w:numPr>
        <w:rPr>
          <w:i/>
        </w:rPr>
      </w:pPr>
      <w:r>
        <w:rPr>
          <w:iCs/>
        </w:rPr>
        <w:t>Injectable medicines are accurately, appropriately and safely administered.</w:t>
      </w:r>
    </w:p>
    <w:p w14:paraId="4A323596" w14:textId="598E675F" w:rsidR="004F7437" w:rsidRPr="004F7437" w:rsidRDefault="004F7437" w:rsidP="008E209D">
      <w:pPr>
        <w:pStyle w:val="ListParagraph"/>
        <w:numPr>
          <w:ilvl w:val="0"/>
          <w:numId w:val="34"/>
        </w:numPr>
        <w:rPr>
          <w:i/>
        </w:rPr>
      </w:pPr>
      <w:r>
        <w:rPr>
          <w:iCs/>
        </w:rPr>
        <w:t>Patients receiving injectable medicines are appropriately monitored</w:t>
      </w:r>
    </w:p>
    <w:p w14:paraId="470074FE" w14:textId="4A67D6B5" w:rsidR="004F7437" w:rsidRPr="00C918C8" w:rsidRDefault="004F7437" w:rsidP="008E209D">
      <w:pPr>
        <w:pStyle w:val="ListParagraph"/>
        <w:numPr>
          <w:ilvl w:val="0"/>
          <w:numId w:val="34"/>
        </w:numPr>
        <w:rPr>
          <w:i/>
        </w:rPr>
      </w:pPr>
      <w:r>
        <w:rPr>
          <w:iCs/>
        </w:rPr>
        <w:t xml:space="preserve">Incidents and errors involving injectable medicines are </w:t>
      </w:r>
      <w:r w:rsidR="00C918C8">
        <w:rPr>
          <w:iCs/>
        </w:rPr>
        <w:t>minimized</w:t>
      </w:r>
    </w:p>
    <w:p w14:paraId="1FB38AB5" w14:textId="2B733226" w:rsidR="00C918C8" w:rsidRPr="00C918C8" w:rsidRDefault="00C918C8" w:rsidP="008E209D">
      <w:pPr>
        <w:pStyle w:val="ListParagraph"/>
        <w:numPr>
          <w:ilvl w:val="0"/>
          <w:numId w:val="34"/>
        </w:numPr>
        <w:rPr>
          <w:i/>
        </w:rPr>
      </w:pPr>
      <w:r>
        <w:rPr>
          <w:iCs/>
        </w:rPr>
        <w:t>Infection prevention and control (IPAC) measures should be taken to reduce the risks associated with injectable medicines, please refer to relevant policies.</w:t>
      </w:r>
    </w:p>
    <w:p w14:paraId="24628058" w14:textId="3F542B41" w:rsidR="00C918C8" w:rsidRDefault="00E73920" w:rsidP="00E73920">
      <w:r>
        <w:t>All Registered Nurses who administer intravenous antibiotics mus</w:t>
      </w:r>
      <w:r w:rsidR="39462EB2">
        <w:t>t</w:t>
      </w:r>
      <w:r>
        <w:t xml:space="preserve"> carry adrenaline</w:t>
      </w:r>
      <w:r w:rsidR="00E63AED">
        <w:t xml:space="preserve"> at</w:t>
      </w:r>
      <w:r w:rsidR="00716197">
        <w:t xml:space="preserve"> 1mg/ml</w:t>
      </w:r>
      <w:r w:rsidR="00BA39AC">
        <w:t xml:space="preserve"> </w:t>
      </w:r>
      <w:r w:rsidR="00E63AED">
        <w:t>(</w:t>
      </w:r>
      <w:r w:rsidR="0036307C">
        <w:t>1</w:t>
      </w:r>
      <w:r w:rsidR="00BA39AC">
        <w:t>:1000</w:t>
      </w:r>
      <w:r w:rsidR="00E63AED">
        <w:t>)</w:t>
      </w:r>
      <w:r w:rsidR="00716197">
        <w:t xml:space="preserve"> concentration</w:t>
      </w:r>
      <w:r w:rsidR="0036307C">
        <w:t xml:space="preserve"> for intramuscular administration</w:t>
      </w:r>
      <w:r>
        <w:t>.</w:t>
      </w:r>
    </w:p>
    <w:p w14:paraId="6905B953" w14:textId="66F5701E" w:rsidR="00E73920" w:rsidRPr="00E73920" w:rsidRDefault="00E73920" w:rsidP="5F912627">
      <w:r>
        <w:t>Although not professionally registered, Clinical Support Staff are required to meet the same standard o</w:t>
      </w:r>
      <w:r w:rsidR="7259DC55">
        <w:t>f</w:t>
      </w:r>
      <w:r>
        <w:t xml:space="preserve"> practice</w:t>
      </w:r>
      <w:r w:rsidR="007A1334">
        <w:t xml:space="preserve"> as any competent professional with</w:t>
      </w:r>
      <w:r w:rsidR="2C42A766">
        <w:t>in</w:t>
      </w:r>
      <w:r w:rsidR="007A1334">
        <w:t xml:space="preserve"> the agreed scope of their role.</w:t>
      </w:r>
    </w:p>
    <w:p w14:paraId="59548A82" w14:textId="02D1E36C" w:rsidR="00A50DC5" w:rsidRDefault="007A1334" w:rsidP="00302B42">
      <w:pPr>
        <w:pStyle w:val="Heading2"/>
      </w:pPr>
      <w:bookmarkStart w:id="11" w:name="_Toc202452442"/>
      <w:r>
        <w:lastRenderedPageBreak/>
        <w:t>Risk Assessment.</w:t>
      </w:r>
      <w:bookmarkEnd w:id="11"/>
    </w:p>
    <w:p w14:paraId="754DFAD4" w14:textId="0ABD60DE" w:rsidR="00302B42" w:rsidRPr="00302B42" w:rsidRDefault="00662209" w:rsidP="00302B42">
      <w:r>
        <w:t>All registered staff must undertake a risk assessment of the patient and the environment prior to any injectable medicine being administered.  If any concerns are raised</w:t>
      </w:r>
      <w:r w:rsidR="00E7452D">
        <w:t xml:space="preserve"> this should be discussed with the prescriber; namely the child or young person’s Consultant or the medical team on Robin Ward overseeing the care of the patient</w:t>
      </w:r>
      <w:r w:rsidR="007B3C89">
        <w:t xml:space="preserve"> before administering medication.</w:t>
      </w:r>
    </w:p>
    <w:p w14:paraId="0AB9B07B" w14:textId="7C0A0705" w:rsidR="00796F5C" w:rsidRDefault="007B3C89" w:rsidP="00E835DC">
      <w:pPr>
        <w:pStyle w:val="Heading2"/>
      </w:pPr>
      <w:bookmarkStart w:id="12" w:name="_Toc202452443"/>
      <w:r>
        <w:t>Prescribing</w:t>
      </w:r>
      <w:bookmarkEnd w:id="12"/>
    </w:p>
    <w:p w14:paraId="3028792F" w14:textId="517D2C23" w:rsidR="00E835DC" w:rsidRPr="00505E5F" w:rsidRDefault="00505E5F" w:rsidP="00E835DC">
      <w:r>
        <w:t xml:space="preserve">All clinicians involved in the administration of injectable medicine </w:t>
      </w:r>
      <w:r w:rsidRPr="00505E5F">
        <w:rPr>
          <w:b/>
          <w:bCs/>
        </w:rPr>
        <w:t>must</w:t>
      </w:r>
      <w:r>
        <w:rPr>
          <w:b/>
          <w:bCs/>
        </w:rPr>
        <w:t xml:space="preserve"> </w:t>
      </w:r>
      <w:r>
        <w:t>check</w:t>
      </w:r>
      <w:r w:rsidR="00443D8A">
        <w:t xml:space="preserve"> that all medications have been prescribed and that there is access to a valid prescription sheet.</w:t>
      </w:r>
    </w:p>
    <w:p w14:paraId="40C2DB64" w14:textId="56F252B6" w:rsidR="00796F5C" w:rsidRDefault="00443D8A" w:rsidP="00796F5C">
      <w:pPr>
        <w:pStyle w:val="Heading2"/>
      </w:pPr>
      <w:bookmarkStart w:id="13" w:name="_Toc202452444"/>
      <w:r>
        <w:t>Monitoring</w:t>
      </w:r>
      <w:bookmarkEnd w:id="13"/>
    </w:p>
    <w:p w14:paraId="0677D260" w14:textId="6CAF137D" w:rsidR="00443D8A" w:rsidRDefault="00A40EDE" w:rsidP="00443D8A">
      <w:r>
        <w:t xml:space="preserve">Monitoring for all children and young people receiving </w:t>
      </w:r>
      <w:proofErr w:type="gramStart"/>
      <w:r w:rsidR="45316366">
        <w:t>an injectable</w:t>
      </w:r>
      <w:proofErr w:type="gramEnd"/>
      <w:r>
        <w:t xml:space="preserve"> medicine should be undertaken when appropriate.  This will be led by the child or young person’s Consultant/prescriber in an agreed plan of care and documented in a management plan on the child or young person’s EMIS records. Should a Paediatric Early Warning Score chart be required then this can be obtained for the correct age category from Robin Ward</w:t>
      </w:r>
      <w:r w:rsidR="00BE35B7">
        <w:t>, Jersey General Hospital.</w:t>
      </w:r>
    </w:p>
    <w:p w14:paraId="7E0F2892" w14:textId="077F4F0D" w:rsidR="00BE35B7" w:rsidRDefault="00BE35B7" w:rsidP="00E97B40">
      <w:pPr>
        <w:pStyle w:val="Heading2"/>
      </w:pPr>
      <w:bookmarkStart w:id="14" w:name="_Toc202452445"/>
      <w:r w:rsidRPr="00BE35B7">
        <w:t>Training and Other Requirements</w:t>
      </w:r>
      <w:bookmarkEnd w:id="14"/>
    </w:p>
    <w:p w14:paraId="24F93552" w14:textId="2468AF99" w:rsidR="00E97B40" w:rsidRDefault="00E97B40" w:rsidP="00E97B40">
      <w:r>
        <w:t>Injectable medicines may only be administered by healthcare professionals who have the necessary knowledge and skills in preparation, administration and monitoring and who feel competent and confident in this practice (RCN, 2016)</w:t>
      </w:r>
    </w:p>
    <w:p w14:paraId="35CE8122" w14:textId="58C9ACAA" w:rsidR="00E97B40" w:rsidRDefault="00E97B40" w:rsidP="00E97B40">
      <w:r>
        <w:t>All healthcare professionals, where relevant, must annually complete Basic Life Support (BLS) and Paediatric Ba</w:t>
      </w:r>
      <w:r w:rsidR="00102DD7">
        <w:t>sic Life Support alongside Anaphylaxis training.</w:t>
      </w:r>
    </w:p>
    <w:p w14:paraId="1A1CEB12" w14:textId="6497CA92" w:rsidR="00102DD7" w:rsidRDefault="00102DD7" w:rsidP="00E97B40">
      <w:r>
        <w:t>All individuals involved</w:t>
      </w:r>
      <w:r w:rsidR="00126C06">
        <w:t xml:space="preserve"> </w:t>
      </w:r>
      <w:r>
        <w:t>in any aspect of injectable medicines have a responsibility to acquire and maintain the necessary knowledge and clinical skills, both theoretical and practical (RCN, 2016)</w:t>
      </w:r>
      <w:r w:rsidR="00D7745D">
        <w:t>. Training and education are provided to all community staff within the organization by experienced practitioners.</w:t>
      </w:r>
    </w:p>
    <w:p w14:paraId="73E63F61" w14:textId="7D8FE5D6" w:rsidR="0024224C" w:rsidRDefault="0024224C" w:rsidP="00E97B40">
      <w:r>
        <w:t>All healthcare staff involved with medicines should undertake continuing pr</w:t>
      </w:r>
      <w:r w:rsidR="000F4663">
        <w:t>ofessional development, which is aligned to clinical governance requirements and professional guidance</w:t>
      </w:r>
      <w:r w:rsidR="00066DC4">
        <w:t xml:space="preserve">, to ensure that their knowledge is up to date. This should form part of </w:t>
      </w:r>
      <w:proofErr w:type="gramStart"/>
      <w:r w:rsidR="00066DC4">
        <w:t>each individual’s</w:t>
      </w:r>
      <w:proofErr w:type="gramEnd"/>
      <w:r w:rsidR="00066DC4">
        <w:t xml:space="preserve"> professional development</w:t>
      </w:r>
      <w:r w:rsidR="00427FC0">
        <w:t xml:space="preserve"> plan.</w:t>
      </w:r>
    </w:p>
    <w:p w14:paraId="56A3C0EF" w14:textId="21C9EF9B" w:rsidR="00427FC0" w:rsidRDefault="00427FC0" w:rsidP="00E97B40">
      <w:r>
        <w:t>It is the responsibility of individual nurses and support workers to maintain and update their knowledge and skills.</w:t>
      </w:r>
    </w:p>
    <w:p w14:paraId="3ED51D9C" w14:textId="75E65F65" w:rsidR="00427FC0" w:rsidRDefault="00427FC0" w:rsidP="00E97B40">
      <w:r>
        <w:t>All training undertaken for the administration of injectable medicines must be recorded by the Education and Training Department.</w:t>
      </w:r>
    </w:p>
    <w:p w14:paraId="60F97C3A" w14:textId="10341E41" w:rsidR="005C4AB8" w:rsidRDefault="00427FC0" w:rsidP="00E97B40">
      <w:r>
        <w:t>The administration of injectable</w:t>
      </w:r>
      <w:r w:rsidR="00FD554B">
        <w:t xml:space="preserve"> medicines can only be delegated to non-registrants holding a Level 3 NVQ/QCF/RQF qualification (or equivalent) in medication management</w:t>
      </w:r>
      <w:r w:rsidR="005A392A">
        <w:t xml:space="preserve">.  For guidance </w:t>
      </w:r>
      <w:r w:rsidR="005A392A">
        <w:lastRenderedPageBreak/>
        <w:t>on delegation, registered practitioners should refer to: SOP Delegation of Nursing Tasks to Non-Registra</w:t>
      </w:r>
      <w:r w:rsidR="00126F06">
        <w:t xml:space="preserve">nts for </w:t>
      </w:r>
      <w:r w:rsidR="0068657F">
        <w:t>Community Children’s Nursing Team (CCNT)</w:t>
      </w:r>
    </w:p>
    <w:p w14:paraId="2AB5919F" w14:textId="2E085A65" w:rsidR="00B0721F" w:rsidRDefault="00145E19" w:rsidP="00192CAD">
      <w:pPr>
        <w:pStyle w:val="Heading3"/>
        <w:rPr>
          <w:b w:val="0"/>
          <w:bCs/>
          <w:i w:val="0"/>
          <w:iCs/>
        </w:rPr>
      </w:pPr>
      <w:bookmarkStart w:id="15" w:name="_Toc202452446"/>
      <w:r>
        <w:t>Bank Registered Nurses</w:t>
      </w:r>
      <w:bookmarkEnd w:id="15"/>
      <w:r w:rsidR="00762E90">
        <w:t xml:space="preserve">  </w:t>
      </w:r>
    </w:p>
    <w:p w14:paraId="66A55992" w14:textId="3589FF04" w:rsidR="006328C6" w:rsidRDefault="00762E90" w:rsidP="00762E90">
      <w:r>
        <w:t xml:space="preserve">Registered Nurses who have undertaken relevant training within other health </w:t>
      </w:r>
      <w:proofErr w:type="spellStart"/>
      <w:r>
        <w:t>organisations</w:t>
      </w:r>
      <w:proofErr w:type="spellEnd"/>
      <w:r>
        <w:t xml:space="preserve"> may also be able to administer these injectable medicines providing they can show</w:t>
      </w:r>
      <w:r w:rsidR="00CC022B">
        <w:t xml:space="preserve"> evidence both practically and theoretically to the relevant Clinical Lead. Copies of certificates will be required</w:t>
      </w:r>
      <w:r w:rsidR="00620844">
        <w:t xml:space="preserve"> and forwarded to the Education and Development Department.</w:t>
      </w:r>
    </w:p>
    <w:p w14:paraId="76DA8F06" w14:textId="66BCA782" w:rsidR="00744DE4" w:rsidRDefault="00744DE4" w:rsidP="005C4AB8">
      <w:pPr>
        <w:pStyle w:val="Heading3"/>
      </w:pPr>
      <w:bookmarkStart w:id="16" w:name="_Toc202452447"/>
      <w:r w:rsidRPr="00744DE4">
        <w:t>Student Nurses</w:t>
      </w:r>
      <w:bookmarkEnd w:id="16"/>
    </w:p>
    <w:p w14:paraId="5B1243B7" w14:textId="491BD5ED" w:rsidR="005C4AB8" w:rsidRDefault="005C4AB8" w:rsidP="005C4AB8">
      <w:r>
        <w:t>Student Nurses who are undertak</w:t>
      </w:r>
      <w:r w:rsidR="6A03D0A4">
        <w:t xml:space="preserve">ing </w:t>
      </w:r>
      <w:r>
        <w:t>part of their training with FNHC must be given every opportunity to become pro</w:t>
      </w:r>
      <w:r w:rsidR="009D0185">
        <w:t>ficient in medicine related activities under appropriate supervision (NMC 2018)</w:t>
      </w:r>
      <w:r w:rsidR="008144E2">
        <w:t>.</w:t>
      </w:r>
    </w:p>
    <w:p w14:paraId="48C8EC45" w14:textId="589C8329" w:rsidR="008144E2" w:rsidRDefault="008144E2" w:rsidP="005C4AB8">
      <w:pPr>
        <w:rPr>
          <w:b/>
          <w:bCs/>
        </w:rPr>
      </w:pPr>
      <w:r>
        <w:t>During each practice placement mentors should assess the student’s proficiency in the administration of medicines in accordance with the expectations stated in their Assessment of Practice Portfolio. Student</w:t>
      </w:r>
      <w:r w:rsidR="00800D03">
        <w:t xml:space="preserve">s must never administer or supply medication without </w:t>
      </w:r>
      <w:r w:rsidR="00800D03">
        <w:rPr>
          <w:b/>
          <w:bCs/>
        </w:rPr>
        <w:t>direct continuous supervision.</w:t>
      </w:r>
    </w:p>
    <w:p w14:paraId="204034C1" w14:textId="07E8FC2E" w:rsidR="00800D03" w:rsidRDefault="001A5CAF" w:rsidP="005C4AB8">
      <w:pPr>
        <w:rPr>
          <w:b/>
          <w:bCs/>
        </w:rPr>
      </w:pPr>
      <w:r>
        <w:t xml:space="preserve">Student Nurses may observe and administer medicines, including administration of medicines via subcutaneous, intramuscular, intradermal and intravenous routes, under </w:t>
      </w:r>
      <w:r>
        <w:rPr>
          <w:b/>
          <w:bCs/>
        </w:rPr>
        <w:t>the direct and constant supervision of a Registered Nurse (NMC 2018)</w:t>
      </w:r>
    </w:p>
    <w:p w14:paraId="4F851363" w14:textId="1DB2A5D9" w:rsidR="00AA1CBD" w:rsidRDefault="00AA1CBD" w:rsidP="005C4AB8">
      <w:r>
        <w:t xml:space="preserve">Students </w:t>
      </w:r>
      <w:r w:rsidRPr="00AA1CBD">
        <w:rPr>
          <w:b/>
          <w:bCs/>
          <w:u w:val="single"/>
        </w:rPr>
        <w:t>may not</w:t>
      </w:r>
      <w:r>
        <w:rPr>
          <w:b/>
          <w:bCs/>
          <w:u w:val="single"/>
        </w:rPr>
        <w:t xml:space="preserve"> </w:t>
      </w:r>
      <w:r>
        <w:t>participate in the preparation and administration of medication given by any other route that requires a Registered Nurse to undertake further education</w:t>
      </w:r>
      <w:r w:rsidR="00964376">
        <w:t xml:space="preserve"> and training.</w:t>
      </w:r>
    </w:p>
    <w:p w14:paraId="030CB4CE" w14:textId="2BB0D837" w:rsidR="00964376" w:rsidRDefault="00964376" w:rsidP="006E27ED">
      <w:pPr>
        <w:pStyle w:val="Heading2"/>
      </w:pPr>
      <w:bookmarkStart w:id="17" w:name="_Toc202452448"/>
      <w:r w:rsidRPr="00964376">
        <w:t>Infection Prevention and Control</w:t>
      </w:r>
      <w:bookmarkEnd w:id="17"/>
    </w:p>
    <w:p w14:paraId="4A25EAE3" w14:textId="382295CE" w:rsidR="006E27ED" w:rsidRDefault="006E27ED" w:rsidP="006E27ED">
      <w:r>
        <w:t>All staff undertaking any procedure should follow local and national guidelines and be up to date with mandatory training</w:t>
      </w:r>
      <w:r w:rsidR="002F636A">
        <w:t xml:space="preserve"> in relation to Infection Prevention and Control. FNHC policies o</w:t>
      </w:r>
      <w:r w:rsidR="0F52BA51">
        <w:t>f</w:t>
      </w:r>
      <w:r w:rsidR="002F636A">
        <w:t xml:space="preserve"> </w:t>
      </w:r>
      <w:proofErr w:type="gramStart"/>
      <w:r w:rsidR="002F636A">
        <w:t>particular relevan</w:t>
      </w:r>
      <w:r w:rsidR="2279E726">
        <w:t>c</w:t>
      </w:r>
      <w:r w:rsidR="68F72795">
        <w:t>e</w:t>
      </w:r>
      <w:proofErr w:type="gramEnd"/>
      <w:r w:rsidR="002F636A">
        <w:t xml:space="preserve"> to injectable medicines include (but are not limited to):</w:t>
      </w:r>
    </w:p>
    <w:p w14:paraId="78990EE0" w14:textId="2FE29F82" w:rsidR="00AD257E" w:rsidRDefault="00AD257E" w:rsidP="00AD257E">
      <w:pPr>
        <w:pStyle w:val="ListParagraph"/>
        <w:numPr>
          <w:ilvl w:val="0"/>
          <w:numId w:val="35"/>
        </w:numPr>
      </w:pPr>
      <w:r>
        <w:t>Hand Hygiene and the use of Personal Protective Equipment Policy and Procedures.</w:t>
      </w:r>
    </w:p>
    <w:p w14:paraId="4900B567" w14:textId="7F88685F" w:rsidR="00AD257E" w:rsidRDefault="00AD257E" w:rsidP="00AD257E">
      <w:pPr>
        <w:pStyle w:val="ListParagraph"/>
        <w:numPr>
          <w:ilvl w:val="0"/>
          <w:numId w:val="35"/>
        </w:numPr>
      </w:pPr>
      <w:r>
        <w:t>Aseptic Non-Touch</w:t>
      </w:r>
      <w:r w:rsidR="00BA1AE3">
        <w:t xml:space="preserve"> Technique Policy</w:t>
      </w:r>
    </w:p>
    <w:p w14:paraId="6C4CE404" w14:textId="581555B3" w:rsidR="00BA1AE3" w:rsidRDefault="00BA1AE3" w:rsidP="00AD257E">
      <w:pPr>
        <w:pStyle w:val="ListParagraph"/>
        <w:numPr>
          <w:ilvl w:val="0"/>
          <w:numId w:val="35"/>
        </w:numPr>
      </w:pPr>
      <w:r>
        <w:t>Waste Management Policy</w:t>
      </w:r>
    </w:p>
    <w:p w14:paraId="3343A56B" w14:textId="213B7B8E" w:rsidR="00BA1AE3" w:rsidRDefault="00BA1AE3" w:rsidP="00AD257E">
      <w:pPr>
        <w:pStyle w:val="ListParagraph"/>
        <w:numPr>
          <w:ilvl w:val="0"/>
          <w:numId w:val="35"/>
        </w:numPr>
      </w:pPr>
      <w:r>
        <w:t>Sharps Safety Policy</w:t>
      </w:r>
    </w:p>
    <w:p w14:paraId="4A14A380" w14:textId="2E705DB1" w:rsidR="00BA1AE3" w:rsidRDefault="00BA1AE3" w:rsidP="00AD257E">
      <w:pPr>
        <w:pStyle w:val="ListParagraph"/>
        <w:numPr>
          <w:ilvl w:val="0"/>
          <w:numId w:val="35"/>
        </w:numPr>
      </w:pPr>
      <w:r>
        <w:t>Sharps Injury and/or Blood or Body Fluids Exposure Procedure.</w:t>
      </w:r>
    </w:p>
    <w:p w14:paraId="1C040F77" w14:textId="1BFE307B" w:rsidR="00BA1AE3" w:rsidRDefault="002E6CFF" w:rsidP="00944857">
      <w:pPr>
        <w:pStyle w:val="Heading2"/>
      </w:pPr>
      <w:bookmarkStart w:id="18" w:name="_Toc202452449"/>
      <w:r w:rsidRPr="002E6CFF">
        <w:t>Preparation and Administration</w:t>
      </w:r>
      <w:bookmarkEnd w:id="18"/>
    </w:p>
    <w:p w14:paraId="27986241" w14:textId="09C529AB" w:rsidR="00944857" w:rsidRDefault="004564A5" w:rsidP="00944857">
      <w:r>
        <w:t>Before beginning preparation, staff must be completely satisfied with the prescription, ensuring</w:t>
      </w:r>
      <w:r w:rsidR="004E2CDF">
        <w:t xml:space="preserve"> it is clear, unambiguous and appropriate for the child or young person’s age and condition.  They should have access to essential information about the product and processes needed for safe preparation and administration. Technical information is available via MEDUSA (</w:t>
      </w:r>
      <w:r w:rsidR="0E5852BB">
        <w:t xml:space="preserve">NHS </w:t>
      </w:r>
      <w:r w:rsidR="004E2CDF">
        <w:t xml:space="preserve">Injectable Medicines Guide)  </w:t>
      </w:r>
      <w:hyperlink r:id="rId15">
        <w:r w:rsidR="67524480" w:rsidRPr="5F912627">
          <w:rPr>
            <w:rStyle w:val="Hyperlink"/>
          </w:rPr>
          <w:t>https://</w:t>
        </w:r>
        <w:r w:rsidR="008F56AD" w:rsidRPr="5F912627">
          <w:rPr>
            <w:rStyle w:val="Hyperlink"/>
          </w:rPr>
          <w:t>www.rcpch.ac.uk</w:t>
        </w:r>
      </w:hyperlink>
      <w:r w:rsidR="448B47DF">
        <w:t xml:space="preserve"> and EOLAS app</w:t>
      </w:r>
    </w:p>
    <w:p w14:paraId="60FA38EC" w14:textId="3AAD727B" w:rsidR="001E5A7D" w:rsidRDefault="001E5A7D" w:rsidP="00944857">
      <w:r>
        <w:lastRenderedPageBreak/>
        <w:t>Practitioners who administer medicines are fully respo</w:t>
      </w:r>
      <w:r w:rsidR="00310D09">
        <w:t xml:space="preserve">nsible for their actions and </w:t>
      </w:r>
      <w:proofErr w:type="gramStart"/>
      <w:r w:rsidR="00310D09">
        <w:t>exercise their own professional judgement at all times</w:t>
      </w:r>
      <w:proofErr w:type="gramEnd"/>
      <w:r w:rsidR="00310D09">
        <w:t xml:space="preserve"> (FNHC Medicines Policy).</w:t>
      </w:r>
    </w:p>
    <w:p w14:paraId="448712E2" w14:textId="2982F43C" w:rsidR="00310D09" w:rsidRDefault="00310D09" w:rsidP="00944857">
      <w:r>
        <w:t xml:space="preserve">All </w:t>
      </w:r>
      <w:r w:rsidR="00EF726F">
        <w:t xml:space="preserve">practitioners should observe standard infection control precautions in particular hand hygiene, </w:t>
      </w:r>
      <w:proofErr w:type="gramStart"/>
      <w:r w:rsidR="00EF726F">
        <w:t>wearing of</w:t>
      </w:r>
      <w:proofErr w:type="gramEnd"/>
      <w:r w:rsidR="00EF726F">
        <w:t xml:space="preserve"> protective clothing and the disposal of sharps and other waste.</w:t>
      </w:r>
    </w:p>
    <w:p w14:paraId="21D32A10" w14:textId="5DA783CE" w:rsidR="0013471F" w:rsidRDefault="0013471F" w:rsidP="00944857">
      <w:r>
        <w:t xml:space="preserve">Aseptic non-touch </w:t>
      </w:r>
      <w:proofErr w:type="gramStart"/>
      <w:r>
        <w:t>technique</w:t>
      </w:r>
      <w:proofErr w:type="gramEnd"/>
      <w:r>
        <w:t xml:space="preserve"> should be used during preparation and administration.</w:t>
      </w:r>
    </w:p>
    <w:p w14:paraId="6930AA89" w14:textId="67E890DE" w:rsidR="0013471F" w:rsidRDefault="0013471F" w:rsidP="00944857">
      <w:r>
        <w:t>If more than on</w:t>
      </w:r>
      <w:r w:rsidR="005C5F6E">
        <w:t>e</w:t>
      </w:r>
      <w:r>
        <w:t xml:space="preserve"> injectable medicine needs to be </w:t>
      </w:r>
      <w:proofErr w:type="gramStart"/>
      <w:r>
        <w:t>prepared</w:t>
      </w:r>
      <w:proofErr w:type="gramEnd"/>
      <w:r>
        <w:t xml:space="preserve"> then each one must be</w:t>
      </w:r>
      <w:r w:rsidR="009C4560">
        <w:t xml:space="preserve"> prepared and administered before another one is made.</w:t>
      </w:r>
    </w:p>
    <w:p w14:paraId="3F404A7E" w14:textId="05C4FD83" w:rsidR="009C4560" w:rsidRDefault="009C4560" w:rsidP="00944857">
      <w:r>
        <w:t>Injectable medicines should also be administered immediately after preparation</w:t>
      </w:r>
      <w:r w:rsidR="00B51197">
        <w:t>.</w:t>
      </w:r>
    </w:p>
    <w:p w14:paraId="7C2D805A" w14:textId="279CBD9F" w:rsidR="00B51197" w:rsidRDefault="00B51197" w:rsidP="00944857">
      <w:r>
        <w:t>Practitioners administering injectable medicines should have appropriate knowledge and understanding of the medicine to be administered, including</w:t>
      </w:r>
      <w:r w:rsidR="00AD2D47">
        <w:t>:</w:t>
      </w:r>
    </w:p>
    <w:p w14:paraId="3DE661CF" w14:textId="3D38F637" w:rsidR="00AD2D47" w:rsidRDefault="00AD2D47" w:rsidP="00AD2D47">
      <w:pPr>
        <w:pStyle w:val="ListParagraph"/>
        <w:numPr>
          <w:ilvl w:val="0"/>
          <w:numId w:val="36"/>
        </w:numPr>
      </w:pPr>
      <w:r>
        <w:t>Indications for use</w:t>
      </w:r>
    </w:p>
    <w:p w14:paraId="3E90B433" w14:textId="3D572E5F" w:rsidR="00AD2D47" w:rsidRDefault="00AD2D47" w:rsidP="00AD2D47">
      <w:pPr>
        <w:pStyle w:val="ListParagraph"/>
        <w:numPr>
          <w:ilvl w:val="0"/>
          <w:numId w:val="36"/>
        </w:numPr>
      </w:pPr>
      <w:r>
        <w:t>Recommended therapeutic dose and frequency</w:t>
      </w:r>
    </w:p>
    <w:p w14:paraId="4F03885F" w14:textId="45887E40" w:rsidR="00AD2D47" w:rsidRDefault="00AD2D47" w:rsidP="00AD2D47">
      <w:pPr>
        <w:pStyle w:val="ListParagraph"/>
        <w:numPr>
          <w:ilvl w:val="0"/>
          <w:numId w:val="36"/>
        </w:numPr>
      </w:pPr>
      <w:r>
        <w:t>Methods of preparation</w:t>
      </w:r>
    </w:p>
    <w:p w14:paraId="26287F4A" w14:textId="2A8EEACE" w:rsidR="00AD2D47" w:rsidRDefault="00AD2D47" w:rsidP="00AD2D47">
      <w:pPr>
        <w:pStyle w:val="ListParagraph"/>
        <w:numPr>
          <w:ilvl w:val="0"/>
          <w:numId w:val="36"/>
        </w:numPr>
      </w:pPr>
      <w:r>
        <w:t>Rate of administration</w:t>
      </w:r>
    </w:p>
    <w:p w14:paraId="76E397F6" w14:textId="353894AC" w:rsidR="00AD2D47" w:rsidRDefault="00AD2D47" w:rsidP="00AD2D47">
      <w:pPr>
        <w:pStyle w:val="ListParagraph"/>
        <w:numPr>
          <w:ilvl w:val="0"/>
          <w:numId w:val="36"/>
        </w:numPr>
      </w:pPr>
      <w:r>
        <w:t>Contra-indications</w:t>
      </w:r>
    </w:p>
    <w:p w14:paraId="2A9243DE" w14:textId="2E511BBF" w:rsidR="00AD2D47" w:rsidRDefault="00AD2D47" w:rsidP="00AD2D47">
      <w:pPr>
        <w:pStyle w:val="ListParagraph"/>
        <w:numPr>
          <w:ilvl w:val="0"/>
          <w:numId w:val="36"/>
        </w:numPr>
      </w:pPr>
      <w:r>
        <w:t>Side effects and p</w:t>
      </w:r>
      <w:r w:rsidR="00595D10">
        <w:t>otential adverse reactions</w:t>
      </w:r>
    </w:p>
    <w:p w14:paraId="03F35F2C" w14:textId="7196AE5D" w:rsidR="00595D10" w:rsidRDefault="00595D10" w:rsidP="00AD2D47">
      <w:pPr>
        <w:pStyle w:val="ListParagraph"/>
        <w:numPr>
          <w:ilvl w:val="0"/>
          <w:numId w:val="36"/>
        </w:numPr>
      </w:pPr>
      <w:r>
        <w:t>Appropriate emergency interventions, in particular the management of anaphylaxis</w:t>
      </w:r>
    </w:p>
    <w:p w14:paraId="34B48FF2" w14:textId="0B3B2D8C" w:rsidR="008E42A5" w:rsidRDefault="00EB78D9" w:rsidP="006320CC">
      <w:pPr>
        <w:pStyle w:val="ListParagraph"/>
        <w:numPr>
          <w:ilvl w:val="0"/>
          <w:numId w:val="36"/>
        </w:numPr>
      </w:pPr>
      <w:r>
        <w:t>Any special monitoring or health and safety requirement.</w:t>
      </w:r>
    </w:p>
    <w:p w14:paraId="3B848E4C" w14:textId="0E030285" w:rsidR="00EB78D9" w:rsidRPr="006320CC" w:rsidRDefault="00EB78D9" w:rsidP="006320CC">
      <w:pPr>
        <w:rPr>
          <w:b/>
          <w:bCs/>
        </w:rPr>
      </w:pPr>
      <w:r w:rsidRPr="006320CC">
        <w:rPr>
          <w:b/>
          <w:bCs/>
        </w:rPr>
        <w:t>Prior to Each Administration the Nurse Must Check the</w:t>
      </w:r>
      <w:r w:rsidR="008E42A5" w:rsidRPr="006320CC">
        <w:rPr>
          <w:b/>
          <w:bCs/>
        </w:rPr>
        <w:t>:</w:t>
      </w:r>
    </w:p>
    <w:p w14:paraId="06579A30" w14:textId="1409AE60" w:rsidR="008E42A5" w:rsidRDefault="003234E0" w:rsidP="008E42A5">
      <w:pPr>
        <w:pStyle w:val="ListParagraph"/>
        <w:numPr>
          <w:ilvl w:val="0"/>
          <w:numId w:val="37"/>
        </w:numPr>
      </w:pPr>
      <w:r>
        <w:t>Parents/Guardian and where appropriate a child or young person’s consents (verbal consent) to treatment and confirms that they understand what treatment is to be given.</w:t>
      </w:r>
    </w:p>
    <w:p w14:paraId="22590867" w14:textId="17F57ADC" w:rsidR="00177EDE" w:rsidRDefault="00177EDE" w:rsidP="008E42A5">
      <w:pPr>
        <w:pStyle w:val="ListParagraph"/>
        <w:numPr>
          <w:ilvl w:val="0"/>
          <w:numId w:val="37"/>
        </w:numPr>
      </w:pPr>
      <w:r>
        <w:t>Child or young person’s name and date of birth</w:t>
      </w:r>
    </w:p>
    <w:p w14:paraId="544593D2" w14:textId="0C78DA66" w:rsidR="00177EDE" w:rsidRDefault="00177EDE" w:rsidP="008E42A5">
      <w:pPr>
        <w:pStyle w:val="ListParagraph"/>
        <w:numPr>
          <w:ilvl w:val="0"/>
          <w:numId w:val="37"/>
        </w:numPr>
      </w:pPr>
      <w:r>
        <w:t>Medicine name, form and strength</w:t>
      </w:r>
    </w:p>
    <w:p w14:paraId="45552B68" w14:textId="50267A9D" w:rsidR="00177EDE" w:rsidRDefault="00177EDE" w:rsidP="008E42A5">
      <w:pPr>
        <w:pStyle w:val="ListParagraph"/>
        <w:numPr>
          <w:ilvl w:val="0"/>
          <w:numId w:val="37"/>
        </w:numPr>
      </w:pPr>
      <w:r>
        <w:t>Dose to be given</w:t>
      </w:r>
    </w:p>
    <w:p w14:paraId="3A4EC8A7" w14:textId="60BB4647" w:rsidR="00177EDE" w:rsidRDefault="00177EDE" w:rsidP="008E42A5">
      <w:pPr>
        <w:pStyle w:val="ListParagraph"/>
        <w:numPr>
          <w:ilvl w:val="0"/>
          <w:numId w:val="37"/>
        </w:numPr>
      </w:pPr>
      <w:r>
        <w:t>Route of administration</w:t>
      </w:r>
    </w:p>
    <w:p w14:paraId="60F8E03E" w14:textId="50005A5F" w:rsidR="00177EDE" w:rsidRDefault="00177EDE" w:rsidP="008E42A5">
      <w:pPr>
        <w:pStyle w:val="ListParagraph"/>
        <w:numPr>
          <w:ilvl w:val="0"/>
          <w:numId w:val="37"/>
        </w:numPr>
      </w:pPr>
      <w:r>
        <w:t>Expiry date of any medicines, diluents, flushes and infus</w:t>
      </w:r>
      <w:r w:rsidR="00050D92">
        <w:t>ion fluids if applicable</w:t>
      </w:r>
    </w:p>
    <w:p w14:paraId="329D4E7B" w14:textId="2A4EBB35" w:rsidR="00050D92" w:rsidRDefault="00050D92" w:rsidP="008E42A5">
      <w:pPr>
        <w:pStyle w:val="ListParagraph"/>
        <w:numPr>
          <w:ilvl w:val="0"/>
          <w:numId w:val="37"/>
        </w:numPr>
      </w:pPr>
      <w:r>
        <w:t>Method and rate of administration</w:t>
      </w:r>
    </w:p>
    <w:p w14:paraId="61DCDC34" w14:textId="19F171B7" w:rsidR="00050D92" w:rsidRDefault="00050D92" w:rsidP="008E42A5">
      <w:pPr>
        <w:pStyle w:val="ListParagraph"/>
        <w:numPr>
          <w:ilvl w:val="0"/>
          <w:numId w:val="37"/>
        </w:numPr>
      </w:pPr>
      <w:r>
        <w:t>Medicines are free from particles, contamination and faults</w:t>
      </w:r>
    </w:p>
    <w:p w14:paraId="5F2ED8B4" w14:textId="07414420" w:rsidR="00050D92" w:rsidRDefault="00050D92" w:rsidP="008E42A5">
      <w:pPr>
        <w:pStyle w:val="ListParagraph"/>
        <w:numPr>
          <w:ilvl w:val="0"/>
          <w:numId w:val="37"/>
        </w:numPr>
      </w:pPr>
      <w:r>
        <w:t>Any known allergies/previous reaction</w:t>
      </w:r>
    </w:p>
    <w:p w14:paraId="26BDFDDC" w14:textId="78F3F923" w:rsidR="00050D92" w:rsidRDefault="00050D92" w:rsidP="008E42A5">
      <w:pPr>
        <w:pStyle w:val="ListParagraph"/>
        <w:numPr>
          <w:ilvl w:val="0"/>
          <w:numId w:val="37"/>
        </w:numPr>
      </w:pPr>
      <w:r>
        <w:t xml:space="preserve">Patient’s </w:t>
      </w:r>
      <w:r w:rsidR="00C25281">
        <w:t>cannula site before giving intravenous (IV) medication.</w:t>
      </w:r>
    </w:p>
    <w:p w14:paraId="0054738F" w14:textId="22152ED2" w:rsidR="00C25281" w:rsidRDefault="00C25281" w:rsidP="00C25281">
      <w:r>
        <w:t xml:space="preserve">If the visual infusion phlebitis (VIP) score is 2 or more then </w:t>
      </w:r>
      <w:r w:rsidR="604E4C53">
        <w:t xml:space="preserve">the </w:t>
      </w:r>
      <w:r>
        <w:t>cannula must not be used but removed and Robin Ward contacted for a replacement to be organized with the medical team.  The VIP score (</w:t>
      </w:r>
      <w:hyperlink w:anchor="_Appendix_1_Phlebitis" w:history="1">
        <w:r w:rsidRPr="00170E7C">
          <w:rPr>
            <w:rStyle w:val="Hyperlink"/>
          </w:rPr>
          <w:t>Appendix 1</w:t>
        </w:r>
      </w:hyperlink>
      <w:r>
        <w:t xml:space="preserve">) must be documented for each </w:t>
      </w:r>
      <w:proofErr w:type="gramStart"/>
      <w:r>
        <w:t>does</w:t>
      </w:r>
      <w:proofErr w:type="gramEnd"/>
      <w:r>
        <w:t xml:space="preserve"> of IV medication (Royal Pharmaceutical Society 2019, Royal College of Nursing, 2016)</w:t>
      </w:r>
    </w:p>
    <w:p w14:paraId="6638ABC0" w14:textId="148CC3E2" w:rsidR="00FF26F9" w:rsidRDefault="00FF26F9" w:rsidP="00C25281">
      <w:r>
        <w:t>The practitioner is responsible for evaluating and monitoring the effectiveness</w:t>
      </w:r>
      <w:r w:rsidR="00BF248C">
        <w:t xml:space="preserve"> of the prescribed medicine</w:t>
      </w:r>
      <w:r w:rsidR="00386562">
        <w:t xml:space="preserve"> and </w:t>
      </w:r>
      <w:r w:rsidR="00BF248C">
        <w:t>documenting the patient’s response</w:t>
      </w:r>
      <w:r w:rsidR="00386562">
        <w:t xml:space="preserve">. </w:t>
      </w:r>
      <w:r w:rsidR="00BF248C">
        <w:t xml:space="preserve"> </w:t>
      </w:r>
      <w:r w:rsidR="00386562">
        <w:t>A</w:t>
      </w:r>
      <w:r w:rsidR="00BF248C">
        <w:t>ny adverse events and intervention</w:t>
      </w:r>
      <w:r w:rsidR="00386562">
        <w:t>s must also be recorded</w:t>
      </w:r>
      <w:r w:rsidR="00AF0E8F">
        <w:t xml:space="preserve"> and reported to </w:t>
      </w:r>
      <w:r w:rsidR="00BF248C">
        <w:t xml:space="preserve">the prescriber and/or </w:t>
      </w:r>
      <w:r w:rsidR="00AF0E8F">
        <w:t xml:space="preserve">the </w:t>
      </w:r>
      <w:r w:rsidR="0067333D">
        <w:t>medical team on Robin Ward whilst seeking appropriate medical attention when required.</w:t>
      </w:r>
    </w:p>
    <w:p w14:paraId="1C34A75A" w14:textId="38378EB6" w:rsidR="0067333D" w:rsidRDefault="0067333D" w:rsidP="00C25281">
      <w:r>
        <w:lastRenderedPageBreak/>
        <w:t xml:space="preserve">Any suspected Adverse </w:t>
      </w:r>
      <w:r w:rsidR="00591D98">
        <w:t>Drug Reaction (ADR) should be reported to the Medicines and Healthcare Regulatory Agency (MHRA) via the yellow card</w:t>
      </w:r>
      <w:r w:rsidR="00843798">
        <w:t xml:space="preserve">. </w:t>
      </w:r>
    </w:p>
    <w:p w14:paraId="06632EB9" w14:textId="77B3E963" w:rsidR="007E7A9B" w:rsidRDefault="007E7A9B" w:rsidP="00C25281">
      <w:hyperlink r:id="rId16" w:history="1">
        <w:r w:rsidRPr="007E7A9B">
          <w:rPr>
            <w:color w:val="0000FF"/>
            <w:u w:val="single"/>
          </w:rPr>
          <w:t>Yellow Card | Making medicines and medical devices safer</w:t>
        </w:r>
      </w:hyperlink>
    </w:p>
    <w:p w14:paraId="19B15F8B" w14:textId="203C1C63" w:rsidR="00AB3F73" w:rsidRDefault="001417CE" w:rsidP="00C25281">
      <w:r>
        <w:t>All practitioners are responsible for reporting ‘near misses’ and clinical incidents regarding the prescribing, dispensing and administration of medicines via the FNHC incident reporting system.</w:t>
      </w:r>
    </w:p>
    <w:p w14:paraId="727FF0BA" w14:textId="22E90665" w:rsidR="00AB3F73" w:rsidRDefault="00AB3F73" w:rsidP="00AB3F73">
      <w:pPr>
        <w:pStyle w:val="Heading2"/>
      </w:pPr>
      <w:bookmarkStart w:id="19" w:name="_Toc202452450"/>
      <w:r w:rsidRPr="00AB3F73">
        <w:t>Storage and Disposal</w:t>
      </w:r>
      <w:bookmarkEnd w:id="19"/>
    </w:p>
    <w:p w14:paraId="295AFEAD" w14:textId="5CAEF784" w:rsidR="00AB3F73" w:rsidRDefault="004E69A4" w:rsidP="00AB3F73">
      <w:r>
        <w:t xml:space="preserve">Injectable medicines should be stored correctly as directed by </w:t>
      </w:r>
      <w:proofErr w:type="gramStart"/>
      <w:r>
        <w:t>the packa</w:t>
      </w:r>
      <w:r w:rsidR="006D7577">
        <w:t>ging</w:t>
      </w:r>
      <w:proofErr w:type="gramEnd"/>
      <w:r w:rsidR="006D7577">
        <w:t xml:space="preserve"> e.g. in a cool, dry place or a monitored refrigerator within the </w:t>
      </w:r>
      <w:r w:rsidR="00F95E2D">
        <w:t>specified temperatures.</w:t>
      </w:r>
    </w:p>
    <w:p w14:paraId="095321A9" w14:textId="418566EA" w:rsidR="00F95E2D" w:rsidRDefault="00F95E2D" w:rsidP="00AB3F73">
      <w:r>
        <w:t>Store all equipment (consumables) in a clean area</w:t>
      </w:r>
    </w:p>
    <w:p w14:paraId="2017719C" w14:textId="3CBEC50A" w:rsidR="00F95E2D" w:rsidRDefault="00F95E2D" w:rsidP="00AB3F73">
      <w:r>
        <w:t>Dispose of all needles and glass vials in a sharps box, do not fill the sharps box more than 2/3rds full.</w:t>
      </w:r>
    </w:p>
    <w:p w14:paraId="4D2B3719" w14:textId="57ECD45F" w:rsidR="00341649" w:rsidRDefault="00341649" w:rsidP="00AB3F73">
      <w:r>
        <w:t xml:space="preserve">Remove sharps box when treatment </w:t>
      </w:r>
      <w:proofErr w:type="gramStart"/>
      <w:r>
        <w:t>complete</w:t>
      </w:r>
      <w:proofErr w:type="gramEnd"/>
    </w:p>
    <w:p w14:paraId="0B1E0D28" w14:textId="7E747D60" w:rsidR="00341649" w:rsidRDefault="00341649" w:rsidP="00AB3F73">
      <w:r>
        <w:t>Used syringes, saline plastic bottles/bags and extension sets can be placed in ordinary bins, remove spike from giving set and dispose in sharps box.</w:t>
      </w:r>
    </w:p>
    <w:p w14:paraId="0FEA1ECF" w14:textId="6DF86F37" w:rsidR="00341649" w:rsidRDefault="00BB5B6B" w:rsidP="00BB5B6B">
      <w:pPr>
        <w:pStyle w:val="Heading2"/>
      </w:pPr>
      <w:bookmarkStart w:id="20" w:name="_Toc202452451"/>
      <w:r w:rsidRPr="00BB5B6B">
        <w:t>Documentation</w:t>
      </w:r>
      <w:bookmarkEnd w:id="20"/>
    </w:p>
    <w:p w14:paraId="5E2FE1DB" w14:textId="08127699" w:rsidR="00BB5B6B" w:rsidRDefault="00437A2D" w:rsidP="00BB5B6B">
      <w:r>
        <w:t xml:space="preserve">As well as electronic documentation, paper notes will </w:t>
      </w:r>
      <w:proofErr w:type="gramStart"/>
      <w:r>
        <w:t>include,</w:t>
      </w:r>
      <w:proofErr w:type="gramEnd"/>
      <w:r>
        <w:t xml:space="preserve"> where applicable, but not limited to:</w:t>
      </w:r>
    </w:p>
    <w:p w14:paraId="404FCD78" w14:textId="4D904600" w:rsidR="00437A2D" w:rsidRDefault="00D35A1A" w:rsidP="00437A2D">
      <w:pPr>
        <w:pStyle w:val="ListParagraph"/>
        <w:numPr>
          <w:ilvl w:val="0"/>
          <w:numId w:val="38"/>
        </w:numPr>
      </w:pPr>
      <w:r>
        <w:t>Patient demographics</w:t>
      </w:r>
    </w:p>
    <w:p w14:paraId="78DDCD7A" w14:textId="66E13B5F" w:rsidR="00D35A1A" w:rsidRDefault="00D35A1A" w:rsidP="00437A2D">
      <w:pPr>
        <w:pStyle w:val="ListParagraph"/>
        <w:numPr>
          <w:ilvl w:val="0"/>
          <w:numId w:val="38"/>
        </w:numPr>
      </w:pPr>
      <w:r>
        <w:t xml:space="preserve">Prescription chart/medication record and </w:t>
      </w:r>
      <w:r w:rsidR="00385910">
        <w:t>authorized sheet.</w:t>
      </w:r>
    </w:p>
    <w:p w14:paraId="13781BDD" w14:textId="74490B0D" w:rsidR="00385910" w:rsidRDefault="00385910" w:rsidP="00437A2D">
      <w:pPr>
        <w:pStyle w:val="ListParagraph"/>
        <w:numPr>
          <w:ilvl w:val="0"/>
          <w:numId w:val="38"/>
        </w:numPr>
      </w:pPr>
      <w:r>
        <w:t>Paediatric early warning score (PEWS)</w:t>
      </w:r>
    </w:p>
    <w:p w14:paraId="1841F491" w14:textId="071F6568" w:rsidR="00385910" w:rsidRDefault="00385910" w:rsidP="00437A2D">
      <w:pPr>
        <w:pStyle w:val="ListParagraph"/>
        <w:numPr>
          <w:ilvl w:val="0"/>
          <w:numId w:val="38"/>
        </w:numPr>
      </w:pPr>
      <w:r>
        <w:t xml:space="preserve">Visual infusion phlebitis (VIP) </w:t>
      </w:r>
      <w:r w:rsidR="00E15D64">
        <w:t>score.</w:t>
      </w:r>
    </w:p>
    <w:p w14:paraId="49DD2B75" w14:textId="40CD5753" w:rsidR="00E15D64" w:rsidRDefault="00E15D64" w:rsidP="00437A2D">
      <w:pPr>
        <w:pStyle w:val="ListParagraph"/>
        <w:numPr>
          <w:ilvl w:val="0"/>
          <w:numId w:val="38"/>
        </w:numPr>
      </w:pPr>
      <w:r>
        <w:t>Venous thromboembolism (VTE)</w:t>
      </w:r>
    </w:p>
    <w:p w14:paraId="16D23FC7" w14:textId="74F5D0AC" w:rsidR="00E15D64" w:rsidRDefault="00E15D64" w:rsidP="00E15D64">
      <w:r>
        <w:t>The person administering the medicine should personally make a record of administration</w:t>
      </w:r>
      <w:r w:rsidR="007A38DD">
        <w:t xml:space="preserve"> as soon as possible after the event. Batch number and expiry dates must be documented.</w:t>
      </w:r>
    </w:p>
    <w:p w14:paraId="37824316" w14:textId="5A8479A7" w:rsidR="007A38DD" w:rsidRDefault="007A38DD" w:rsidP="00E15D64">
      <w:r>
        <w:t>All clinical staff, where applicable, should complete their essential training in documentation.  For further guidance on record keeping, please refer to the current FNHC Record Keeping Policy.</w:t>
      </w:r>
    </w:p>
    <w:p w14:paraId="31E937FC" w14:textId="11A93162" w:rsidR="00270868" w:rsidRDefault="00270868" w:rsidP="00270868">
      <w:pPr>
        <w:pStyle w:val="Heading2"/>
      </w:pPr>
      <w:bookmarkStart w:id="21" w:name="_Toc202452452"/>
      <w:r w:rsidRPr="00270868">
        <w:t>Patient Self-Administration of Injectable Medicines</w:t>
      </w:r>
      <w:bookmarkEnd w:id="21"/>
    </w:p>
    <w:p w14:paraId="1284F49F" w14:textId="341C63DE" w:rsidR="00270868" w:rsidRDefault="008A4C16" w:rsidP="00270868">
      <w:r>
        <w:t>Where appropriate, children and young people may be trained to self-administer injectable medicines. Parents and/or guardians may also be trained to administer</w:t>
      </w:r>
      <w:r w:rsidR="00D273DD">
        <w:t xml:space="preserve"> injectable medicines </w:t>
      </w:r>
      <w:proofErr w:type="gramStart"/>
      <w:r w:rsidR="00D273DD">
        <w:t>to</w:t>
      </w:r>
      <w:proofErr w:type="gramEnd"/>
      <w:r w:rsidR="00D273DD">
        <w:t xml:space="preserve"> the patient. In such cases the child or young person/parents/guardian should be assessed </w:t>
      </w:r>
      <w:r w:rsidR="00124849">
        <w:t>as suitable to undertake this, trained and competency assessed in the relevant methods of preparation, administration and monitoring.</w:t>
      </w:r>
    </w:p>
    <w:p w14:paraId="59D27CE8" w14:textId="781478B3" w:rsidR="00144100" w:rsidRDefault="00144100" w:rsidP="00D2136B">
      <w:pPr>
        <w:pStyle w:val="Heading2"/>
      </w:pPr>
      <w:bookmarkStart w:id="22" w:name="_Toc202452453"/>
      <w:r w:rsidRPr="00144100">
        <w:lastRenderedPageBreak/>
        <w:t>Care/Support Workers Administration of Injectable Medicines</w:t>
      </w:r>
      <w:bookmarkEnd w:id="22"/>
    </w:p>
    <w:p w14:paraId="17ECF234" w14:textId="65E0D4BD" w:rsidR="00D2136B" w:rsidRDefault="00D2136B" w:rsidP="00D2136B">
      <w:r>
        <w:t>Registered Nurses are responsible for delegating care appropriately in accordance with their professional code, this policy and other relevant organizational policies and procedures. Guidance should be sought from the FNHC Standard Operating Procedure – Delegation of Care for Community Children’s Nursing Team.</w:t>
      </w:r>
    </w:p>
    <w:p w14:paraId="2047E7D9" w14:textId="62340B5C" w:rsidR="00097FE5" w:rsidRDefault="00097FE5" w:rsidP="00097FE5">
      <w:pPr>
        <w:pStyle w:val="Heading2"/>
      </w:pPr>
      <w:bookmarkStart w:id="23" w:name="_Toc202452454"/>
      <w:r w:rsidRPr="00097FE5">
        <w:t>Consent</w:t>
      </w:r>
      <w:bookmarkEnd w:id="23"/>
    </w:p>
    <w:p w14:paraId="29349B3C" w14:textId="733D8BE0" w:rsidR="00097FE5" w:rsidRDefault="004D1E5E" w:rsidP="00097FE5">
      <w:r>
        <w:t xml:space="preserve">Informed consent must be obtained prior to any procedure being performed. Every parent/guardian or where appropriate, child or young person, has the right to make their own decisions and must be assumed to have </w:t>
      </w:r>
      <w:proofErr w:type="gramStart"/>
      <w:r>
        <w:t>capacity</w:t>
      </w:r>
      <w:proofErr w:type="gramEnd"/>
      <w:r>
        <w:t xml:space="preserve"> to do so unless it is proved otherwise. Please refer to the current</w:t>
      </w:r>
      <w:r w:rsidR="00EE5E4D">
        <w:t xml:space="preserve"> FNHC Consent to Treatment and Care Policy for further guidance.</w:t>
      </w:r>
    </w:p>
    <w:p w14:paraId="2B685CE4" w14:textId="5CDDF3A7" w:rsidR="009B5F1F" w:rsidRDefault="009B5F1F" w:rsidP="00097FE5">
      <w:r>
        <w:t>For detailed guidance on capacity, please refer directly to the Capacity and Self-Determination (Jersey) 2016 Code of Practice.</w:t>
      </w:r>
    </w:p>
    <w:p w14:paraId="57F25D2D" w14:textId="77777777" w:rsidR="00101BBD" w:rsidRDefault="00942F86" w:rsidP="00D53A61">
      <w:pPr>
        <w:pStyle w:val="Heading1"/>
      </w:pPr>
      <w:bookmarkStart w:id="24" w:name="_Toc202452455"/>
      <w:r w:rsidRPr="00A33A94">
        <w:t>PROCEDURE</w:t>
      </w:r>
      <w:bookmarkEnd w:id="24"/>
    </w:p>
    <w:p w14:paraId="221D9428" w14:textId="4EECFB99" w:rsidR="001B7688" w:rsidRDefault="001B7688" w:rsidP="001B7688">
      <w:r>
        <w:t xml:space="preserve">Please access the Preparation of Injectable SOP for </w:t>
      </w:r>
      <w:proofErr w:type="gramStart"/>
      <w:r>
        <w:t>step by step</w:t>
      </w:r>
      <w:proofErr w:type="gramEnd"/>
      <w:r>
        <w:t xml:space="preserve"> guidance. Intr</w:t>
      </w:r>
      <w:r w:rsidR="00DB23B9">
        <w:t xml:space="preserve">amuscular and subcutaneous injection sites are shown in </w:t>
      </w:r>
      <w:hyperlink w:anchor="_Appendix_2_Injection" w:history="1">
        <w:r w:rsidR="00DB23B9" w:rsidRPr="00170E7C">
          <w:rPr>
            <w:rStyle w:val="Hyperlink"/>
          </w:rPr>
          <w:t>Appendix 2</w:t>
        </w:r>
      </w:hyperlink>
      <w:r w:rsidR="00DB23B9">
        <w:t>.</w:t>
      </w:r>
    </w:p>
    <w:p w14:paraId="7B8C9350" w14:textId="2238D050" w:rsidR="00DB23B9" w:rsidRDefault="00DB23B9" w:rsidP="001B7688">
      <w:r>
        <w:t>Further information and guidance of eviden</w:t>
      </w:r>
      <w:r w:rsidR="00A10092">
        <w:t xml:space="preserve">ce-based procedures for intravenous, intramuscular and subcutaneous injections is available at </w:t>
      </w:r>
      <w:hyperlink r:id="rId17" w:history="1">
        <w:r w:rsidR="00A10092" w:rsidRPr="00614DF6">
          <w:rPr>
            <w:rStyle w:val="Hyperlink"/>
          </w:rPr>
          <w:t>www.clinicalskills.net</w:t>
        </w:r>
      </w:hyperlink>
      <w:r w:rsidR="00A10092">
        <w:t xml:space="preserve"> or the Royal Marsden online manual.</w:t>
      </w:r>
    </w:p>
    <w:p w14:paraId="17E1600D" w14:textId="51264097" w:rsidR="00931C84" w:rsidRDefault="00931C84" w:rsidP="001B7688">
      <w:r>
        <w:t xml:space="preserve">Guidance on bolus, intermittent and continuous infusions can also be accessed via </w:t>
      </w:r>
      <w:hyperlink r:id="rId18" w:history="1">
        <w:r w:rsidRPr="00614DF6">
          <w:rPr>
            <w:rStyle w:val="Hyperlink"/>
          </w:rPr>
          <w:t>www.clinicalskills.net</w:t>
        </w:r>
      </w:hyperlink>
      <w:r w:rsidR="00822085">
        <w:t xml:space="preserve"> and the Royal Marsden online manual.</w:t>
      </w:r>
    </w:p>
    <w:p w14:paraId="7223D12A" w14:textId="11CD31A0" w:rsidR="00822085" w:rsidRDefault="00822085" w:rsidP="001B7688">
      <w:r>
        <w:t>For syringe driver guidance please refer to</w:t>
      </w:r>
      <w:r w:rsidR="00C12095">
        <w:t xml:space="preserve"> the</w:t>
      </w:r>
      <w:r>
        <w:t xml:space="preserve"> FNHC Palliative Care: Syringe Pump Driver Policy</w:t>
      </w:r>
      <w:r w:rsidR="00ED5CE9">
        <w:t>.</w:t>
      </w:r>
    </w:p>
    <w:p w14:paraId="64EA92CF" w14:textId="615A8915" w:rsidR="002A76AA" w:rsidRDefault="00ED5CE9" w:rsidP="001B7688">
      <w:r>
        <w:t xml:space="preserve">For the </w:t>
      </w:r>
      <w:r w:rsidR="00E67A2F">
        <w:t>management of the cold chain</w:t>
      </w:r>
      <w:r>
        <w:t xml:space="preserve"> please follow</w:t>
      </w:r>
      <w:r w:rsidR="00E67A2F">
        <w:t xml:space="preserve"> the current version of the </w:t>
      </w:r>
      <w:proofErr w:type="spellStart"/>
      <w:r w:rsidR="00E67A2F">
        <w:t>organisation’s</w:t>
      </w:r>
      <w:proofErr w:type="spellEnd"/>
      <w:r w:rsidR="00E67A2F">
        <w:t xml:space="preserve"> </w:t>
      </w:r>
      <w:r w:rsidR="00881B75">
        <w:t xml:space="preserve">‘Maintaining Cold Chain of Medicines Policy and </w:t>
      </w:r>
      <w:proofErr w:type="gramStart"/>
      <w:r w:rsidR="00881B75">
        <w:t>Procedures’</w:t>
      </w:r>
      <w:proofErr w:type="gramEnd"/>
      <w:r w:rsidR="00881B75">
        <w:t xml:space="preserve"> available </w:t>
      </w:r>
      <w:proofErr w:type="gramStart"/>
      <w:r w:rsidR="00881B75">
        <w:t>on</w:t>
      </w:r>
      <w:proofErr w:type="gramEnd"/>
      <w:r w:rsidR="00881B75">
        <w:t xml:space="preserve"> the Procedural Document Library.</w:t>
      </w:r>
    </w:p>
    <w:p w14:paraId="41EDA7B2" w14:textId="6A08A34F" w:rsidR="00856DE7" w:rsidRDefault="00BB2E72" w:rsidP="00856DE7">
      <w:pPr>
        <w:pStyle w:val="Heading1"/>
        <w:ind w:hanging="530"/>
      </w:pPr>
      <w:bookmarkStart w:id="25" w:name="_Toc202452456"/>
      <w:r>
        <w:t>M</w:t>
      </w:r>
      <w:r w:rsidR="00856DE7" w:rsidRPr="00856DE7">
        <w:t>ONITORING COMPLIANCE</w:t>
      </w:r>
      <w:bookmarkEnd w:id="25"/>
    </w:p>
    <w:p w14:paraId="32BD8CE0" w14:textId="7BC2A964" w:rsidR="00C301C5" w:rsidRDefault="00E64B26" w:rsidP="00CF7F41">
      <w:r>
        <w:t xml:space="preserve">Compliance with this policy is the responsibility of all registered practitioners administering injectable medicines. Incidents involving injectable medicines will be reviewed by the </w:t>
      </w:r>
      <w:r w:rsidR="00E321CE">
        <w:t>Team Leader and Operational Lead with oversight</w:t>
      </w:r>
      <w:r w:rsidR="006149E0">
        <w:t xml:space="preserve"> </w:t>
      </w:r>
      <w:proofErr w:type="gramStart"/>
      <w:r w:rsidR="009360E2">
        <w:t>via</w:t>
      </w:r>
      <w:proofErr w:type="gramEnd"/>
      <w:r w:rsidR="006149E0">
        <w:t xml:space="preserve"> various governance</w:t>
      </w:r>
      <w:r w:rsidR="009360E2">
        <w:t xml:space="preserve"> </w:t>
      </w:r>
      <w:r w:rsidR="006149E0">
        <w:t>processes</w:t>
      </w:r>
      <w:r w:rsidR="009360E2">
        <w:t>.</w:t>
      </w:r>
    </w:p>
    <w:p w14:paraId="74CBD349" w14:textId="77777777" w:rsidR="006320CC" w:rsidRDefault="006320CC" w:rsidP="00CF7F41">
      <w:pPr>
        <w:sectPr w:rsidR="006320CC" w:rsidSect="00856DE7">
          <w:footerReference w:type="first" r:id="rId19"/>
          <w:pgSz w:w="11906" w:h="16838"/>
          <w:pgMar w:top="1440" w:right="1440" w:bottom="1440" w:left="1440" w:header="708" w:footer="220" w:gutter="0"/>
          <w:cols w:space="708"/>
          <w:titlePg/>
          <w:docGrid w:linePitch="360"/>
        </w:sectPr>
      </w:pPr>
    </w:p>
    <w:p w14:paraId="464CD782" w14:textId="19EE1AED" w:rsidR="00A00AAC" w:rsidRPr="006320CC" w:rsidRDefault="00942F86" w:rsidP="00856DE7">
      <w:pPr>
        <w:pStyle w:val="Heading1"/>
        <w:ind w:hanging="530"/>
      </w:pPr>
      <w:bookmarkStart w:id="26" w:name="_Toc202452457"/>
      <w:r w:rsidRPr="00856DE7">
        <w:lastRenderedPageBreak/>
        <w:t>CONSULTATION PROCESS</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2628"/>
      </w:tblGrid>
      <w:tr w:rsidR="00A00AAC" w:rsidRPr="00856DE7" w14:paraId="47209D39" w14:textId="77777777" w:rsidTr="15726FC9">
        <w:tc>
          <w:tcPr>
            <w:tcW w:w="2988" w:type="dxa"/>
            <w:shd w:val="clear" w:color="auto" w:fill="E0E0E0"/>
          </w:tcPr>
          <w:p w14:paraId="0CF467AD" w14:textId="77777777" w:rsidR="00A00AAC" w:rsidRPr="00856DE7" w:rsidRDefault="00A00AAC" w:rsidP="00233DA9">
            <w:pPr>
              <w:spacing w:after="120"/>
              <w:jc w:val="center"/>
              <w:rPr>
                <w:rFonts w:cs="Arial"/>
                <w:b/>
                <w:szCs w:val="22"/>
              </w:rPr>
            </w:pPr>
            <w:r w:rsidRPr="00856DE7">
              <w:rPr>
                <w:rFonts w:cs="Arial"/>
                <w:b/>
                <w:szCs w:val="22"/>
              </w:rPr>
              <w:t>Name</w:t>
            </w:r>
          </w:p>
        </w:tc>
        <w:tc>
          <w:tcPr>
            <w:tcW w:w="3240" w:type="dxa"/>
            <w:shd w:val="clear" w:color="auto" w:fill="E0E0E0"/>
          </w:tcPr>
          <w:p w14:paraId="173A1C56" w14:textId="77777777" w:rsidR="00A00AAC" w:rsidRPr="00856DE7" w:rsidRDefault="00A00AAC" w:rsidP="00233DA9">
            <w:pPr>
              <w:spacing w:after="120"/>
              <w:jc w:val="center"/>
              <w:rPr>
                <w:rFonts w:cs="Arial"/>
                <w:b/>
                <w:szCs w:val="22"/>
              </w:rPr>
            </w:pPr>
            <w:r w:rsidRPr="00856DE7">
              <w:rPr>
                <w:rFonts w:cs="Arial"/>
                <w:b/>
                <w:szCs w:val="22"/>
              </w:rPr>
              <w:t>Title</w:t>
            </w:r>
          </w:p>
        </w:tc>
        <w:tc>
          <w:tcPr>
            <w:tcW w:w="2628" w:type="dxa"/>
            <w:shd w:val="clear" w:color="auto" w:fill="E0E0E0"/>
          </w:tcPr>
          <w:p w14:paraId="2B5DC378" w14:textId="77777777" w:rsidR="00A00AAC" w:rsidRPr="00856DE7" w:rsidRDefault="00A00AAC" w:rsidP="00233DA9">
            <w:pPr>
              <w:spacing w:after="120"/>
              <w:jc w:val="center"/>
              <w:rPr>
                <w:rFonts w:cs="Arial"/>
                <w:b/>
                <w:szCs w:val="22"/>
              </w:rPr>
            </w:pPr>
            <w:r w:rsidRPr="00856DE7">
              <w:rPr>
                <w:rFonts w:cs="Arial"/>
                <w:b/>
                <w:szCs w:val="22"/>
              </w:rPr>
              <w:t>Date</w:t>
            </w:r>
          </w:p>
        </w:tc>
      </w:tr>
      <w:tr w:rsidR="00A00AAC" w:rsidRPr="00856DE7" w14:paraId="47C252A0" w14:textId="77777777" w:rsidTr="006320CC">
        <w:tc>
          <w:tcPr>
            <w:tcW w:w="2988" w:type="dxa"/>
          </w:tcPr>
          <w:p w14:paraId="532E4A5E" w14:textId="71D36365" w:rsidR="00A00AAC" w:rsidRPr="00856DE7" w:rsidRDefault="005C5F6E" w:rsidP="002149DC">
            <w:pPr>
              <w:rPr>
                <w:rFonts w:cs="Arial"/>
                <w:szCs w:val="22"/>
              </w:rPr>
            </w:pPr>
            <w:r>
              <w:rPr>
                <w:rFonts w:cs="Arial"/>
                <w:szCs w:val="22"/>
              </w:rPr>
              <w:t>Michelle Cumming</w:t>
            </w:r>
          </w:p>
        </w:tc>
        <w:tc>
          <w:tcPr>
            <w:tcW w:w="3240" w:type="dxa"/>
          </w:tcPr>
          <w:p w14:paraId="31E7CD1E" w14:textId="0DC6B1F6" w:rsidR="00A00AAC" w:rsidRPr="00856DE7" w:rsidRDefault="005C5F6E" w:rsidP="002149DC">
            <w:pPr>
              <w:rPr>
                <w:rFonts w:cs="Arial"/>
                <w:szCs w:val="22"/>
              </w:rPr>
            </w:pPr>
            <w:r>
              <w:rPr>
                <w:rFonts w:cs="Arial"/>
                <w:szCs w:val="22"/>
              </w:rPr>
              <w:t>Operational Lead C&amp;F</w:t>
            </w:r>
          </w:p>
        </w:tc>
        <w:tc>
          <w:tcPr>
            <w:tcW w:w="2628" w:type="dxa"/>
            <w:vAlign w:val="center"/>
          </w:tcPr>
          <w:p w14:paraId="24B4D0FD" w14:textId="5307F1EF" w:rsidR="00A00AAC" w:rsidRPr="00856DE7" w:rsidRDefault="005C5F6E" w:rsidP="006320CC">
            <w:pPr>
              <w:jc w:val="center"/>
              <w:rPr>
                <w:rFonts w:cs="Arial"/>
                <w:szCs w:val="22"/>
              </w:rPr>
            </w:pPr>
            <w:r>
              <w:rPr>
                <w:rFonts w:cs="Arial"/>
                <w:szCs w:val="22"/>
              </w:rPr>
              <w:t>March 2025</w:t>
            </w:r>
          </w:p>
        </w:tc>
      </w:tr>
      <w:tr w:rsidR="00A00AAC" w:rsidRPr="00856DE7" w14:paraId="5A404FFD" w14:textId="77777777" w:rsidTr="006320CC">
        <w:tc>
          <w:tcPr>
            <w:tcW w:w="2988" w:type="dxa"/>
          </w:tcPr>
          <w:p w14:paraId="04E8A05E" w14:textId="7BFDB9D2" w:rsidR="00A00AAC" w:rsidRPr="00856DE7" w:rsidRDefault="005C5F6E" w:rsidP="002149DC">
            <w:pPr>
              <w:rPr>
                <w:rFonts w:cs="Arial"/>
                <w:szCs w:val="22"/>
              </w:rPr>
            </w:pPr>
            <w:r>
              <w:rPr>
                <w:rFonts w:cs="Arial"/>
                <w:szCs w:val="22"/>
              </w:rPr>
              <w:t>Gill John</w:t>
            </w:r>
          </w:p>
        </w:tc>
        <w:tc>
          <w:tcPr>
            <w:tcW w:w="3240" w:type="dxa"/>
          </w:tcPr>
          <w:p w14:paraId="6B5CDA43" w14:textId="5D22C395" w:rsidR="00A00AAC" w:rsidRPr="00856DE7" w:rsidRDefault="005C5F6E" w:rsidP="002149DC">
            <w:pPr>
              <w:rPr>
                <w:rFonts w:cs="Arial"/>
                <w:szCs w:val="22"/>
              </w:rPr>
            </w:pPr>
            <w:r>
              <w:rPr>
                <w:rFonts w:cs="Arial"/>
                <w:szCs w:val="22"/>
              </w:rPr>
              <w:t>Team Lead CCNT</w:t>
            </w:r>
          </w:p>
        </w:tc>
        <w:tc>
          <w:tcPr>
            <w:tcW w:w="2628" w:type="dxa"/>
            <w:vAlign w:val="center"/>
          </w:tcPr>
          <w:p w14:paraId="642E2B4F" w14:textId="2C851302" w:rsidR="00A00AAC" w:rsidRPr="00856DE7" w:rsidRDefault="62451287" w:rsidP="006320CC">
            <w:pPr>
              <w:jc w:val="center"/>
              <w:rPr>
                <w:rFonts w:cs="Arial"/>
              </w:rPr>
            </w:pPr>
            <w:r w:rsidRPr="15726FC9">
              <w:rPr>
                <w:rFonts w:cs="Arial"/>
              </w:rPr>
              <w:t>March 2025</w:t>
            </w:r>
          </w:p>
        </w:tc>
      </w:tr>
      <w:tr w:rsidR="00A00AAC" w:rsidRPr="00856DE7" w14:paraId="7CDDB071" w14:textId="77777777" w:rsidTr="006320CC">
        <w:tc>
          <w:tcPr>
            <w:tcW w:w="2988" w:type="dxa"/>
          </w:tcPr>
          <w:p w14:paraId="70497207" w14:textId="5E32BD73" w:rsidR="00A00AAC" w:rsidRPr="00856DE7" w:rsidRDefault="62451287" w:rsidP="15726FC9">
            <w:pPr>
              <w:rPr>
                <w:rFonts w:cs="Arial"/>
              </w:rPr>
            </w:pPr>
            <w:r w:rsidRPr="15726FC9">
              <w:rPr>
                <w:rFonts w:cs="Arial"/>
              </w:rPr>
              <w:t>Polly Axford</w:t>
            </w:r>
          </w:p>
        </w:tc>
        <w:tc>
          <w:tcPr>
            <w:tcW w:w="3240" w:type="dxa"/>
          </w:tcPr>
          <w:p w14:paraId="4CA85D92" w14:textId="4003166F" w:rsidR="00A00AAC" w:rsidRPr="00856DE7" w:rsidRDefault="62451287" w:rsidP="15726FC9">
            <w:pPr>
              <w:rPr>
                <w:rFonts w:cs="Arial"/>
              </w:rPr>
            </w:pPr>
            <w:r w:rsidRPr="15726FC9">
              <w:rPr>
                <w:rFonts w:cs="Arial"/>
              </w:rPr>
              <w:t>Sister CCNT</w:t>
            </w:r>
          </w:p>
        </w:tc>
        <w:tc>
          <w:tcPr>
            <w:tcW w:w="2628" w:type="dxa"/>
            <w:vAlign w:val="center"/>
          </w:tcPr>
          <w:p w14:paraId="721A7A96" w14:textId="6E20C706" w:rsidR="00A00AAC" w:rsidRPr="00856DE7" w:rsidRDefault="62451287" w:rsidP="006320CC">
            <w:pPr>
              <w:jc w:val="center"/>
              <w:rPr>
                <w:rFonts w:cs="Arial"/>
              </w:rPr>
            </w:pPr>
            <w:r w:rsidRPr="15726FC9">
              <w:rPr>
                <w:rFonts w:cs="Arial"/>
              </w:rPr>
              <w:t>April 2025</w:t>
            </w:r>
          </w:p>
        </w:tc>
      </w:tr>
    </w:tbl>
    <w:p w14:paraId="34A6434D" w14:textId="77777777" w:rsidR="00796620" w:rsidRPr="00856DE7" w:rsidRDefault="00796620" w:rsidP="00796620">
      <w:pPr>
        <w:pStyle w:val="Heading1"/>
        <w:ind w:hanging="530"/>
      </w:pPr>
      <w:bookmarkStart w:id="27" w:name="_Toc202452458"/>
      <w:r w:rsidRPr="00856DE7">
        <w:t>EQUALITY IMPACT STATEMENT</w:t>
      </w:r>
      <w:bookmarkEnd w:id="27"/>
    </w:p>
    <w:p w14:paraId="6970AC6C" w14:textId="77777777" w:rsidR="00796620" w:rsidRPr="00856DE7" w:rsidRDefault="00796620" w:rsidP="009D7D55">
      <w:r w:rsidRPr="00856DE7">
        <w:t xml:space="preserve">Family Nursing &amp; Home Care is committed to ensuring that, as far </w:t>
      </w:r>
      <w:proofErr w:type="gramStart"/>
      <w:r w:rsidRPr="00856DE7">
        <w:t>as</w:t>
      </w:r>
      <w:proofErr w:type="gramEnd"/>
      <w:r w:rsidRPr="00856DE7">
        <w:t xml:space="preserve"> is reasonably practicable, the way services are provided to the public and the way staff are treated reflects their individual needs and does not discriminate against individuals or groups on any grounds.</w:t>
      </w:r>
    </w:p>
    <w:p w14:paraId="2293A811" w14:textId="77777777" w:rsidR="00796620" w:rsidRPr="00856DE7" w:rsidRDefault="00796620" w:rsidP="009D7D55">
      <w:r w:rsidRPr="00856DE7">
        <w:t xml:space="preserve">This policy document forms part of a commitment to create a positive culture of respect for all individuals including staff, patients, their families and carers as well as community partners. The intention is to identify, remove or </w:t>
      </w:r>
      <w:proofErr w:type="spellStart"/>
      <w:r w:rsidRPr="00856DE7">
        <w:t>minimise</w:t>
      </w:r>
      <w:proofErr w:type="spellEnd"/>
      <w:r w:rsidRPr="00856DE7">
        <w:t xml:space="preserve"> discriminatory practice in the areas of race, disability, gender, sexual orientation, age and ‘religion, belief, faith and spirituality’ as well as to promote positive practice and value the diversity of all individuals and communities. </w:t>
      </w:r>
    </w:p>
    <w:p w14:paraId="15A35F2F" w14:textId="77777777" w:rsidR="00796620" w:rsidRPr="00856DE7" w:rsidRDefault="00796620" w:rsidP="009D7D55">
      <w:pPr>
        <w:rPr>
          <w:shd w:val="clear" w:color="auto" w:fill="FFFFFF"/>
        </w:rPr>
      </w:pPr>
      <w:r w:rsidRPr="00856DE7">
        <w:t>The Family Nursing &amp; Home Care values</w:t>
      </w:r>
      <w:r w:rsidRPr="00856DE7">
        <w:rPr>
          <w:rStyle w:val="apple-converted-space"/>
          <w:rFonts w:cs="Arial"/>
          <w:color w:val="333333"/>
        </w:rPr>
        <w:t xml:space="preserve"> underpin everything done in the name of the </w:t>
      </w:r>
      <w:proofErr w:type="spellStart"/>
      <w:r w:rsidRPr="00856DE7">
        <w:rPr>
          <w:rStyle w:val="apple-converted-space"/>
          <w:rFonts w:cs="Arial"/>
          <w:color w:val="333333"/>
        </w:rPr>
        <w:t>organisation</w:t>
      </w:r>
      <w:proofErr w:type="spellEnd"/>
      <w:r w:rsidRPr="00856DE7">
        <w:rPr>
          <w:rStyle w:val="apple-converted-space"/>
          <w:rFonts w:cs="Arial"/>
          <w:color w:val="333333"/>
        </w:rPr>
        <w:t>.</w:t>
      </w:r>
      <w:r w:rsidRPr="00856DE7">
        <w:t xml:space="preserve"> They are </w:t>
      </w:r>
      <w:proofErr w:type="gramStart"/>
      <w:r w:rsidRPr="00856DE7">
        <w:t>manifest</w:t>
      </w:r>
      <w:proofErr w:type="gramEnd"/>
      <w:r w:rsidRPr="00856DE7">
        <w:t xml:space="preserve"> in the </w:t>
      </w:r>
      <w:proofErr w:type="spellStart"/>
      <w:r w:rsidRPr="00856DE7">
        <w:t>behaviours</w:t>
      </w:r>
      <w:proofErr w:type="spellEnd"/>
      <w:r w:rsidRPr="00856DE7">
        <w:t xml:space="preserve"> employees display.  </w:t>
      </w:r>
      <w:r w:rsidRPr="00856DE7">
        <w:rPr>
          <w:shd w:val="clear" w:color="auto" w:fill="FFFFFF"/>
        </w:rPr>
        <w:t xml:space="preserve">The </w:t>
      </w:r>
      <w:proofErr w:type="spellStart"/>
      <w:r w:rsidRPr="00856DE7">
        <w:rPr>
          <w:shd w:val="clear" w:color="auto" w:fill="FFFFFF"/>
        </w:rPr>
        <w:t>organisation</w:t>
      </w:r>
      <w:proofErr w:type="spellEnd"/>
      <w:r w:rsidRPr="00856DE7">
        <w:rPr>
          <w:shd w:val="clear" w:color="auto" w:fill="FFFFFF"/>
        </w:rPr>
        <w:t xml:space="preserve"> is committed to promoting a culture founded on these values.</w:t>
      </w:r>
    </w:p>
    <w:p w14:paraId="37873ABB" w14:textId="77777777" w:rsidR="00796620" w:rsidRPr="00502E62" w:rsidRDefault="00796620" w:rsidP="00796620">
      <w:pPr>
        <w:rPr>
          <w:b/>
          <w:shd w:val="clear" w:color="auto" w:fill="FFFFFF"/>
        </w:rPr>
      </w:pPr>
      <w:r w:rsidRPr="00502E62">
        <w:rPr>
          <w:b/>
          <w:shd w:val="clear" w:color="auto" w:fill="FFFFFF"/>
        </w:rPr>
        <w:t>Always:</w:t>
      </w:r>
    </w:p>
    <w:p w14:paraId="59E4FBA9"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Putting patients first</w:t>
      </w:r>
    </w:p>
    <w:p w14:paraId="40977988"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Keeping people safe</w:t>
      </w:r>
    </w:p>
    <w:p w14:paraId="0E1E28E8"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Have courage and commitment to do the right thing</w:t>
      </w:r>
    </w:p>
    <w:p w14:paraId="3613FF3C"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Be accountable, take responsibility and own your actions</w:t>
      </w:r>
    </w:p>
    <w:p w14:paraId="3833680E"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Listen actively</w:t>
      </w:r>
    </w:p>
    <w:p w14:paraId="272BB0F6"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Check for understanding when you communicate</w:t>
      </w:r>
    </w:p>
    <w:p w14:paraId="523098F8" w14:textId="77777777" w:rsidR="00796620" w:rsidRDefault="00796620" w:rsidP="00796620">
      <w:pPr>
        <w:pStyle w:val="ListParagraph"/>
        <w:numPr>
          <w:ilvl w:val="0"/>
          <w:numId w:val="27"/>
        </w:numPr>
        <w:rPr>
          <w:shd w:val="clear" w:color="auto" w:fill="FFFFFF"/>
        </w:rPr>
      </w:pPr>
      <w:r w:rsidRPr="00502E62">
        <w:rPr>
          <w:shd w:val="clear" w:color="auto" w:fill="FFFFFF"/>
        </w:rPr>
        <w:t>Be respectful and treat people with dignity</w:t>
      </w:r>
    </w:p>
    <w:p w14:paraId="2D694680" w14:textId="77777777" w:rsidR="00796620" w:rsidRPr="00502E62" w:rsidRDefault="00796620" w:rsidP="00796620">
      <w:pPr>
        <w:pStyle w:val="ListParagraph"/>
        <w:numPr>
          <w:ilvl w:val="0"/>
          <w:numId w:val="27"/>
        </w:numPr>
        <w:rPr>
          <w:shd w:val="clear" w:color="auto" w:fill="FFFFFF"/>
        </w:rPr>
      </w:pPr>
      <w:r w:rsidRPr="00502E62">
        <w:rPr>
          <w:rFonts w:cs="Arial"/>
          <w:shd w:val="clear" w:color="auto" w:fill="FFFFFF"/>
        </w:rPr>
        <w:t>Work as a team</w:t>
      </w:r>
    </w:p>
    <w:p w14:paraId="3AC25F43" w14:textId="266B18EC" w:rsidR="00796620" w:rsidRDefault="00796620" w:rsidP="00796620">
      <w:r w:rsidRPr="00502E62">
        <w:rPr>
          <w:rFonts w:cs="Arial"/>
          <w:shd w:val="clear" w:color="auto" w:fill="FFFFFF"/>
        </w:rPr>
        <w:t xml:space="preserve">This policy should be </w:t>
      </w:r>
      <w:proofErr w:type="gramStart"/>
      <w:r w:rsidRPr="00502E62">
        <w:rPr>
          <w:rFonts w:cs="Arial"/>
          <w:shd w:val="clear" w:color="auto" w:fill="FFFFFF"/>
        </w:rPr>
        <w:t xml:space="preserve">read and </w:t>
      </w:r>
      <w:r w:rsidRPr="00502E62">
        <w:t xml:space="preserve">implemented with the </w:t>
      </w:r>
      <w:proofErr w:type="spellStart"/>
      <w:r w:rsidRPr="00502E62">
        <w:t>Organisational</w:t>
      </w:r>
      <w:proofErr w:type="spellEnd"/>
      <w:r w:rsidRPr="00502E62">
        <w:t xml:space="preserve"> Values in mind at all times</w:t>
      </w:r>
      <w:proofErr w:type="gramEnd"/>
      <w:r w:rsidRPr="00502E62">
        <w:t xml:space="preserve">.  See </w:t>
      </w:r>
      <w:r w:rsidRPr="001F2984">
        <w:t>overleaf</w:t>
      </w:r>
      <w:r w:rsidR="000C6454" w:rsidRPr="001F2984">
        <w:t>/below</w:t>
      </w:r>
      <w:r>
        <w:t xml:space="preserve"> for the </w:t>
      </w:r>
      <w:r w:rsidRPr="00502E62">
        <w:t>Equality Impact Assessment for this policy.</w:t>
      </w:r>
    </w:p>
    <w:p w14:paraId="4DCD611C" w14:textId="77777777" w:rsidR="00796620" w:rsidRDefault="00796620" w:rsidP="00796620"/>
    <w:p w14:paraId="5B134BDB" w14:textId="77777777" w:rsidR="00796620" w:rsidRDefault="00796620" w:rsidP="00796620">
      <w:pPr>
        <w:rPr>
          <w:rFonts w:cs="Arial"/>
          <w:shd w:val="clear" w:color="auto" w:fill="FFFFFF"/>
        </w:rPr>
        <w:sectPr w:rsidR="00796620" w:rsidSect="00856DE7">
          <w:pgSz w:w="11906" w:h="16838"/>
          <w:pgMar w:top="1440" w:right="1440" w:bottom="1440" w:left="1440" w:header="708" w:footer="220" w:gutter="0"/>
          <w:cols w:space="708"/>
          <w:titlePg/>
          <w:docGrid w:linePitch="360"/>
        </w:sectPr>
      </w:pPr>
    </w:p>
    <w:p w14:paraId="0E5204DA" w14:textId="77777777" w:rsidR="00796620" w:rsidRDefault="00796620" w:rsidP="00796620">
      <w:pPr>
        <w:pStyle w:val="Heading2"/>
      </w:pPr>
      <w:bookmarkStart w:id="28" w:name="_Toc202452459"/>
      <w:r>
        <w:lastRenderedPageBreak/>
        <w:t xml:space="preserve">EQUALITY IMPACT </w:t>
      </w:r>
      <w:r w:rsidRPr="00DA3FE7">
        <w:t>SCREENING</w:t>
      </w:r>
      <w:r>
        <w:t xml:space="preserve"> TOOL</w:t>
      </w:r>
      <w:bookmarkEnd w:id="28"/>
    </w:p>
    <w:tbl>
      <w:tblPr>
        <w:tblW w:w="10065" w:type="dxa"/>
        <w:tblInd w:w="-4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619"/>
        <w:gridCol w:w="1075"/>
        <w:gridCol w:w="709"/>
        <w:gridCol w:w="1164"/>
        <w:gridCol w:w="112"/>
        <w:gridCol w:w="626"/>
        <w:gridCol w:w="425"/>
        <w:gridCol w:w="709"/>
        <w:gridCol w:w="850"/>
        <w:gridCol w:w="650"/>
        <w:gridCol w:w="2126"/>
      </w:tblGrid>
      <w:tr w:rsidR="00796620" w:rsidRPr="00856DE7" w14:paraId="7D64E85C" w14:textId="77777777" w:rsidTr="5F912627">
        <w:tc>
          <w:tcPr>
            <w:tcW w:w="10065" w:type="dxa"/>
            <w:gridSpan w:val="11"/>
            <w:shd w:val="clear" w:color="auto" w:fill="B6DDE8"/>
          </w:tcPr>
          <w:p w14:paraId="7B90CF12" w14:textId="77777777" w:rsidR="00796620" w:rsidRPr="00856DE7" w:rsidRDefault="00796620" w:rsidP="002149DC">
            <w:pPr>
              <w:spacing w:after="120"/>
              <w:rPr>
                <w:rFonts w:cs="Arial"/>
                <w:b/>
                <w:bCs/>
              </w:rPr>
            </w:pPr>
            <w:r w:rsidRPr="00856DE7">
              <w:rPr>
                <w:rFonts w:cs="Arial"/>
                <w:b/>
                <w:bCs/>
              </w:rPr>
              <w:t xml:space="preserve">Stage 1 </w:t>
            </w:r>
            <w:proofErr w:type="gramStart"/>
            <w:r w:rsidRPr="00856DE7">
              <w:rPr>
                <w:rFonts w:cs="Arial"/>
                <w:b/>
                <w:bCs/>
              </w:rPr>
              <w:t>-  Screening</w:t>
            </w:r>
            <w:proofErr w:type="gramEnd"/>
            <w:r w:rsidRPr="00856DE7">
              <w:rPr>
                <w:rFonts w:cs="Arial"/>
                <w:b/>
                <w:bCs/>
              </w:rPr>
              <w:t xml:space="preserve"> </w:t>
            </w:r>
          </w:p>
        </w:tc>
      </w:tr>
      <w:tr w:rsidR="00796620" w:rsidRPr="00856DE7" w14:paraId="7A126F0A" w14:textId="77777777" w:rsidTr="5F912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0065" w:type="dxa"/>
            <w:gridSpan w:val="11"/>
            <w:tcBorders>
              <w:top w:val="single" w:sz="4" w:space="0" w:color="auto"/>
              <w:left w:val="single" w:sz="4" w:space="0" w:color="auto"/>
              <w:bottom w:val="single" w:sz="4" w:space="0" w:color="auto"/>
              <w:right w:val="single" w:sz="4" w:space="0" w:color="auto"/>
            </w:tcBorders>
          </w:tcPr>
          <w:p w14:paraId="557AFE5D" w14:textId="77777777" w:rsidR="00796620" w:rsidRDefault="00796620" w:rsidP="002149DC">
            <w:pPr>
              <w:spacing w:after="120"/>
              <w:rPr>
                <w:rFonts w:cs="Arial"/>
              </w:rPr>
            </w:pPr>
            <w:bookmarkStart w:id="29" w:name="_Toc20232270"/>
            <w:r w:rsidRPr="00856DE7">
              <w:rPr>
                <w:rFonts w:cs="Arial"/>
              </w:rPr>
              <w:t>Title of Procedural Document:</w:t>
            </w:r>
            <w:bookmarkEnd w:id="29"/>
            <w:r w:rsidRPr="00856DE7">
              <w:rPr>
                <w:rFonts w:cs="Arial"/>
              </w:rPr>
              <w:t xml:space="preserve"> </w:t>
            </w:r>
          </w:p>
          <w:p w14:paraId="23331752" w14:textId="62656146" w:rsidR="00813D6D" w:rsidRPr="00856DE7" w:rsidRDefault="00813D6D" w:rsidP="002149DC">
            <w:pPr>
              <w:spacing w:after="120"/>
              <w:rPr>
                <w:rFonts w:cs="Arial"/>
              </w:rPr>
            </w:pPr>
            <w:r>
              <w:rPr>
                <w:rFonts w:cs="Arial"/>
              </w:rPr>
              <w:t>Injectable Medicines for Children and Young People</w:t>
            </w:r>
          </w:p>
        </w:tc>
      </w:tr>
      <w:tr w:rsidR="00796620" w:rsidRPr="00856DE7" w14:paraId="1B69AFED" w14:textId="77777777" w:rsidTr="5F912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2694" w:type="dxa"/>
            <w:gridSpan w:val="2"/>
            <w:tcBorders>
              <w:top w:val="single" w:sz="4" w:space="0" w:color="auto"/>
              <w:left w:val="single" w:sz="4" w:space="0" w:color="auto"/>
              <w:bottom w:val="single" w:sz="4" w:space="0" w:color="auto"/>
              <w:right w:val="single" w:sz="4" w:space="0" w:color="auto"/>
            </w:tcBorders>
          </w:tcPr>
          <w:p w14:paraId="303AD310" w14:textId="77777777" w:rsidR="00796620" w:rsidRPr="00856DE7" w:rsidRDefault="00796620" w:rsidP="002149DC">
            <w:pPr>
              <w:spacing w:after="120"/>
              <w:rPr>
                <w:rFonts w:cs="Arial"/>
              </w:rPr>
            </w:pPr>
            <w:bookmarkStart w:id="30" w:name="_Toc20232271"/>
            <w:r w:rsidRPr="00856DE7">
              <w:rPr>
                <w:rFonts w:cs="Arial"/>
              </w:rPr>
              <w:t>Date of Assessment</w:t>
            </w:r>
            <w:bookmarkEnd w:id="30"/>
          </w:p>
        </w:tc>
        <w:tc>
          <w:tcPr>
            <w:tcW w:w="1873" w:type="dxa"/>
            <w:gridSpan w:val="2"/>
            <w:tcBorders>
              <w:top w:val="single" w:sz="4" w:space="0" w:color="auto"/>
              <w:left w:val="single" w:sz="4" w:space="0" w:color="auto"/>
              <w:bottom w:val="single" w:sz="4" w:space="0" w:color="auto"/>
              <w:right w:val="single" w:sz="4" w:space="0" w:color="auto"/>
            </w:tcBorders>
          </w:tcPr>
          <w:p w14:paraId="5BBFCD2D" w14:textId="0A8B75A6" w:rsidR="00796620" w:rsidRPr="00856DE7" w:rsidRDefault="07ED999F" w:rsidP="002149DC">
            <w:pPr>
              <w:spacing w:after="120"/>
              <w:rPr>
                <w:rFonts w:cs="Arial"/>
              </w:rPr>
            </w:pPr>
            <w:r w:rsidRPr="5F912627">
              <w:rPr>
                <w:rFonts w:cs="Arial"/>
              </w:rPr>
              <w:t xml:space="preserve"> 202</w:t>
            </w:r>
            <w:r w:rsidR="7EC53A90" w:rsidRPr="5F912627">
              <w:rPr>
                <w:rFonts w:cs="Arial"/>
              </w:rPr>
              <w:t>5</w:t>
            </w:r>
          </w:p>
        </w:tc>
        <w:tc>
          <w:tcPr>
            <w:tcW w:w="2722" w:type="dxa"/>
            <w:gridSpan w:val="5"/>
            <w:tcBorders>
              <w:top w:val="single" w:sz="4" w:space="0" w:color="auto"/>
              <w:left w:val="single" w:sz="4" w:space="0" w:color="auto"/>
              <w:bottom w:val="single" w:sz="4" w:space="0" w:color="auto"/>
              <w:right w:val="single" w:sz="4" w:space="0" w:color="auto"/>
            </w:tcBorders>
          </w:tcPr>
          <w:p w14:paraId="682F124F" w14:textId="77777777" w:rsidR="00796620" w:rsidRPr="00856DE7" w:rsidRDefault="00796620" w:rsidP="002149DC">
            <w:pPr>
              <w:spacing w:after="120"/>
              <w:rPr>
                <w:rFonts w:cs="Arial"/>
              </w:rPr>
            </w:pPr>
            <w:r w:rsidRPr="00856DE7">
              <w:rPr>
                <w:rFonts w:cs="Arial"/>
              </w:rPr>
              <w:t>Responsible Department</w:t>
            </w:r>
          </w:p>
        </w:tc>
        <w:tc>
          <w:tcPr>
            <w:tcW w:w="2776" w:type="dxa"/>
            <w:gridSpan w:val="2"/>
            <w:tcBorders>
              <w:top w:val="single" w:sz="4" w:space="0" w:color="auto"/>
              <w:left w:val="single" w:sz="4" w:space="0" w:color="auto"/>
              <w:bottom w:val="single" w:sz="4" w:space="0" w:color="auto"/>
              <w:right w:val="single" w:sz="4" w:space="0" w:color="auto"/>
            </w:tcBorders>
          </w:tcPr>
          <w:p w14:paraId="70DE4E2B" w14:textId="51F92921" w:rsidR="00796620" w:rsidRPr="00856DE7" w:rsidRDefault="008B3AC9" w:rsidP="002149DC">
            <w:pPr>
              <w:spacing w:after="120"/>
              <w:rPr>
                <w:rFonts w:cs="Arial"/>
              </w:rPr>
            </w:pPr>
            <w:r>
              <w:rPr>
                <w:rFonts w:cs="Arial"/>
              </w:rPr>
              <w:t>CCNT</w:t>
            </w:r>
          </w:p>
        </w:tc>
      </w:tr>
      <w:tr w:rsidR="00796620" w:rsidRPr="00856DE7" w14:paraId="1A058831" w14:textId="77777777" w:rsidTr="5F912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3"/>
        </w:trPr>
        <w:tc>
          <w:tcPr>
            <w:tcW w:w="1619" w:type="dxa"/>
            <w:tcBorders>
              <w:top w:val="single" w:sz="4" w:space="0" w:color="auto"/>
              <w:left w:val="single" w:sz="4" w:space="0" w:color="auto"/>
              <w:bottom w:val="single" w:sz="4" w:space="0" w:color="auto"/>
              <w:right w:val="single" w:sz="4" w:space="0" w:color="auto"/>
            </w:tcBorders>
          </w:tcPr>
          <w:p w14:paraId="408EC494" w14:textId="77777777" w:rsidR="00796620" w:rsidRPr="00856DE7" w:rsidRDefault="00796620" w:rsidP="002149DC">
            <w:pPr>
              <w:spacing w:after="120"/>
              <w:rPr>
                <w:rFonts w:cs="Arial"/>
              </w:rPr>
            </w:pPr>
            <w:r>
              <w:rPr>
                <w:rFonts w:cs="Arial"/>
              </w:rPr>
              <w:t>Completed by</w:t>
            </w:r>
          </w:p>
        </w:tc>
        <w:tc>
          <w:tcPr>
            <w:tcW w:w="2948" w:type="dxa"/>
            <w:gridSpan w:val="3"/>
            <w:tcBorders>
              <w:top w:val="single" w:sz="4" w:space="0" w:color="auto"/>
              <w:left w:val="single" w:sz="4" w:space="0" w:color="auto"/>
              <w:bottom w:val="single" w:sz="4" w:space="0" w:color="auto"/>
              <w:right w:val="single" w:sz="4" w:space="0" w:color="auto"/>
            </w:tcBorders>
          </w:tcPr>
          <w:p w14:paraId="4018456C" w14:textId="333DA3F1" w:rsidR="00796620" w:rsidRPr="00856DE7" w:rsidRDefault="008B3AC9" w:rsidP="002149DC">
            <w:pPr>
              <w:spacing w:after="120"/>
              <w:rPr>
                <w:rFonts w:cs="Arial"/>
              </w:rPr>
            </w:pPr>
            <w:r>
              <w:rPr>
                <w:rFonts w:cs="Arial"/>
              </w:rPr>
              <w:t>Lyn Vidler</w:t>
            </w:r>
          </w:p>
        </w:tc>
        <w:tc>
          <w:tcPr>
            <w:tcW w:w="1163" w:type="dxa"/>
            <w:gridSpan w:val="3"/>
            <w:tcBorders>
              <w:top w:val="single" w:sz="4" w:space="0" w:color="auto"/>
              <w:left w:val="single" w:sz="4" w:space="0" w:color="auto"/>
              <w:bottom w:val="single" w:sz="4" w:space="0" w:color="auto"/>
              <w:right w:val="single" w:sz="4" w:space="0" w:color="auto"/>
            </w:tcBorders>
          </w:tcPr>
          <w:p w14:paraId="7E2C0A09" w14:textId="77777777" w:rsidR="00796620" w:rsidRPr="00856DE7" w:rsidRDefault="00796620" w:rsidP="002149DC">
            <w:pPr>
              <w:spacing w:after="120"/>
              <w:rPr>
                <w:rFonts w:cs="Arial"/>
              </w:rPr>
            </w:pPr>
            <w:r w:rsidRPr="00856DE7">
              <w:rPr>
                <w:rFonts w:cs="Arial"/>
              </w:rPr>
              <w:t>Job Title</w:t>
            </w:r>
          </w:p>
        </w:tc>
        <w:tc>
          <w:tcPr>
            <w:tcW w:w="4335" w:type="dxa"/>
            <w:gridSpan w:val="4"/>
            <w:tcBorders>
              <w:top w:val="single" w:sz="4" w:space="0" w:color="auto"/>
              <w:left w:val="single" w:sz="4" w:space="0" w:color="auto"/>
              <w:bottom w:val="single" w:sz="4" w:space="0" w:color="auto"/>
              <w:right w:val="single" w:sz="4" w:space="0" w:color="auto"/>
            </w:tcBorders>
          </w:tcPr>
          <w:p w14:paraId="7A89F83F" w14:textId="1665318B" w:rsidR="00796620" w:rsidRPr="00856DE7" w:rsidRDefault="00B71799" w:rsidP="002149DC">
            <w:pPr>
              <w:spacing w:after="120"/>
              <w:rPr>
                <w:rFonts w:cs="Arial"/>
              </w:rPr>
            </w:pPr>
            <w:r>
              <w:rPr>
                <w:rFonts w:cs="Arial"/>
              </w:rPr>
              <w:t>Community Children’s Nurse</w:t>
            </w:r>
          </w:p>
        </w:tc>
      </w:tr>
      <w:tr w:rsidR="00796620" w:rsidRPr="00856DE7" w14:paraId="6A42141D" w14:textId="77777777" w:rsidTr="5F912627">
        <w:tc>
          <w:tcPr>
            <w:tcW w:w="10065" w:type="dxa"/>
            <w:gridSpan w:val="11"/>
            <w:shd w:val="clear" w:color="auto" w:fill="B6DDE8"/>
          </w:tcPr>
          <w:p w14:paraId="61468AA7" w14:textId="77777777" w:rsidR="00796620" w:rsidRPr="00856DE7" w:rsidRDefault="00796620" w:rsidP="002149DC">
            <w:pPr>
              <w:spacing w:after="120"/>
              <w:ind w:left="34"/>
              <w:rPr>
                <w:rFonts w:cs="Arial"/>
                <w:b/>
                <w:bCs/>
              </w:rPr>
            </w:pPr>
            <w:r w:rsidRPr="00856DE7">
              <w:rPr>
                <w:rFonts w:cs="Arial"/>
                <w:b/>
              </w:rPr>
              <w:t xml:space="preserve">Does the policy/function affect one group less or more </w:t>
            </w:r>
            <w:proofErr w:type="spellStart"/>
            <w:r w:rsidRPr="00856DE7">
              <w:rPr>
                <w:rFonts w:cs="Arial"/>
                <w:b/>
              </w:rPr>
              <w:t>favourably</w:t>
            </w:r>
            <w:proofErr w:type="spellEnd"/>
            <w:r w:rsidRPr="00856DE7">
              <w:rPr>
                <w:rFonts w:cs="Arial"/>
                <w:b/>
              </w:rPr>
              <w:t xml:space="preserve"> than another </w:t>
            </w:r>
            <w:proofErr w:type="gramStart"/>
            <w:r w:rsidRPr="00856DE7">
              <w:rPr>
                <w:rFonts w:cs="Arial"/>
                <w:b/>
              </w:rPr>
              <w:t>on the basis of</w:t>
            </w:r>
            <w:proofErr w:type="gramEnd"/>
            <w:r>
              <w:rPr>
                <w:rFonts w:cs="Arial"/>
                <w:bCs/>
              </w:rPr>
              <w:t>:</w:t>
            </w:r>
          </w:p>
        </w:tc>
      </w:tr>
      <w:tr w:rsidR="00796620" w:rsidRPr="00856DE7" w14:paraId="46205C8B" w14:textId="77777777" w:rsidTr="5F912627">
        <w:tc>
          <w:tcPr>
            <w:tcW w:w="5305" w:type="dxa"/>
            <w:gridSpan w:val="6"/>
          </w:tcPr>
          <w:p w14:paraId="040A8883" w14:textId="77777777" w:rsidR="00796620" w:rsidRPr="00856DE7" w:rsidRDefault="00796620" w:rsidP="002149DC">
            <w:pPr>
              <w:spacing w:before="80" w:after="80"/>
              <w:ind w:left="361"/>
              <w:rPr>
                <w:rFonts w:cs="Arial"/>
              </w:rPr>
            </w:pPr>
          </w:p>
        </w:tc>
        <w:tc>
          <w:tcPr>
            <w:tcW w:w="1134" w:type="dxa"/>
            <w:gridSpan w:val="2"/>
            <w:vAlign w:val="center"/>
          </w:tcPr>
          <w:p w14:paraId="2323B341" w14:textId="77777777" w:rsidR="00796620" w:rsidRPr="00856DE7" w:rsidRDefault="00796620" w:rsidP="002149DC">
            <w:pPr>
              <w:spacing w:before="80" w:after="80"/>
              <w:jc w:val="center"/>
              <w:rPr>
                <w:rFonts w:cs="Arial"/>
                <w:b/>
              </w:rPr>
            </w:pPr>
            <w:r w:rsidRPr="00856DE7">
              <w:rPr>
                <w:rFonts w:cs="Arial"/>
                <w:b/>
              </w:rPr>
              <w:t>Yes/No</w:t>
            </w:r>
          </w:p>
        </w:tc>
        <w:tc>
          <w:tcPr>
            <w:tcW w:w="3626" w:type="dxa"/>
            <w:gridSpan w:val="3"/>
            <w:vAlign w:val="center"/>
          </w:tcPr>
          <w:p w14:paraId="2BA077CA" w14:textId="77777777" w:rsidR="00796620" w:rsidRPr="00856DE7" w:rsidRDefault="00796620" w:rsidP="002149DC">
            <w:pPr>
              <w:spacing w:before="80" w:after="80"/>
              <w:ind w:left="33"/>
              <w:jc w:val="center"/>
              <w:rPr>
                <w:rFonts w:cs="Arial"/>
                <w:b/>
              </w:rPr>
            </w:pPr>
            <w:r w:rsidRPr="00856DE7">
              <w:rPr>
                <w:rFonts w:cs="Arial"/>
                <w:b/>
              </w:rPr>
              <w:t>Comments</w:t>
            </w:r>
          </w:p>
        </w:tc>
      </w:tr>
      <w:tr w:rsidR="00796620" w:rsidRPr="00856DE7" w14:paraId="6E24FAAB" w14:textId="77777777" w:rsidTr="5F912627">
        <w:tc>
          <w:tcPr>
            <w:tcW w:w="5305" w:type="dxa"/>
            <w:gridSpan w:val="6"/>
          </w:tcPr>
          <w:p w14:paraId="628B2A5E" w14:textId="77777777" w:rsidR="00796620" w:rsidRPr="00856DE7" w:rsidRDefault="00796620" w:rsidP="005C0A0B">
            <w:pPr>
              <w:tabs>
                <w:tab w:val="left" w:pos="278"/>
              </w:tabs>
              <w:spacing w:before="80" w:after="80"/>
              <w:rPr>
                <w:rFonts w:cs="Arial"/>
              </w:rPr>
            </w:pPr>
            <w:r w:rsidRPr="00856DE7">
              <w:rPr>
                <w:rFonts w:cs="Arial"/>
              </w:rPr>
              <w:t>Age</w:t>
            </w:r>
          </w:p>
        </w:tc>
        <w:tc>
          <w:tcPr>
            <w:tcW w:w="1134" w:type="dxa"/>
            <w:gridSpan w:val="2"/>
          </w:tcPr>
          <w:p w14:paraId="0FE54B3E" w14:textId="45AFB4F5" w:rsidR="00796620" w:rsidRPr="00856DE7" w:rsidRDefault="00DE7EC6" w:rsidP="002149DC">
            <w:pPr>
              <w:spacing w:before="80" w:after="80"/>
              <w:rPr>
                <w:rFonts w:cs="Arial"/>
              </w:rPr>
            </w:pPr>
            <w:r>
              <w:rPr>
                <w:rFonts w:cs="Arial"/>
              </w:rPr>
              <w:t>NO</w:t>
            </w:r>
          </w:p>
        </w:tc>
        <w:tc>
          <w:tcPr>
            <w:tcW w:w="3626" w:type="dxa"/>
            <w:gridSpan w:val="3"/>
          </w:tcPr>
          <w:p w14:paraId="6A843CFF" w14:textId="77777777" w:rsidR="00796620" w:rsidRPr="00856DE7" w:rsidRDefault="00796620" w:rsidP="002149DC">
            <w:pPr>
              <w:spacing w:before="80" w:after="80"/>
              <w:rPr>
                <w:rFonts w:cs="Arial"/>
              </w:rPr>
            </w:pPr>
          </w:p>
        </w:tc>
      </w:tr>
      <w:tr w:rsidR="00796620" w:rsidRPr="00856DE7" w14:paraId="38995910" w14:textId="77777777" w:rsidTr="5F912627">
        <w:tc>
          <w:tcPr>
            <w:tcW w:w="5305" w:type="dxa"/>
            <w:gridSpan w:val="6"/>
          </w:tcPr>
          <w:p w14:paraId="1BB171E0" w14:textId="77777777" w:rsidR="00796620" w:rsidRPr="00856DE7" w:rsidRDefault="00796620" w:rsidP="005C0A0B">
            <w:pPr>
              <w:tabs>
                <w:tab w:val="left" w:pos="278"/>
              </w:tabs>
              <w:spacing w:before="80" w:after="80"/>
              <w:rPr>
                <w:rFonts w:cs="Arial"/>
              </w:rPr>
            </w:pPr>
            <w:r w:rsidRPr="00856DE7">
              <w:rPr>
                <w:rFonts w:cs="Arial"/>
              </w:rPr>
              <w:t>Disability</w:t>
            </w:r>
          </w:p>
          <w:p w14:paraId="016A6CAE" w14:textId="173B2B2A" w:rsidR="00796620" w:rsidRPr="009D7D55" w:rsidRDefault="009D7D55" w:rsidP="002149DC">
            <w:pPr>
              <w:tabs>
                <w:tab w:val="left" w:pos="278"/>
              </w:tabs>
              <w:spacing w:before="80" w:after="80"/>
              <w:ind w:left="-1"/>
              <w:rPr>
                <w:rFonts w:cs="Arial"/>
                <w:i/>
              </w:rPr>
            </w:pPr>
            <w:r>
              <w:rPr>
                <w:rFonts w:cs="Arial"/>
                <w:i/>
                <w:sz w:val="20"/>
              </w:rPr>
              <w:t>(</w:t>
            </w:r>
            <w:r w:rsidR="00796620" w:rsidRPr="009D7D55">
              <w:rPr>
                <w:rFonts w:cs="Arial"/>
                <w:i/>
                <w:sz w:val="20"/>
              </w:rPr>
              <w:t>Learning disability; physical disability; sensory impairment and/or mental health problems e.g. dementia</w:t>
            </w:r>
            <w:r>
              <w:rPr>
                <w:rFonts w:cs="Arial"/>
                <w:i/>
                <w:sz w:val="20"/>
              </w:rPr>
              <w:t>)</w:t>
            </w:r>
          </w:p>
        </w:tc>
        <w:tc>
          <w:tcPr>
            <w:tcW w:w="1134" w:type="dxa"/>
            <w:gridSpan w:val="2"/>
          </w:tcPr>
          <w:p w14:paraId="6AD7FB91" w14:textId="461DA2B7" w:rsidR="00796620" w:rsidRPr="00856DE7" w:rsidRDefault="0035351F" w:rsidP="002149DC">
            <w:pPr>
              <w:spacing w:before="80" w:after="80"/>
              <w:rPr>
                <w:rFonts w:cs="Arial"/>
              </w:rPr>
            </w:pPr>
            <w:r>
              <w:rPr>
                <w:rFonts w:cs="Arial"/>
              </w:rPr>
              <w:t>NO</w:t>
            </w:r>
          </w:p>
        </w:tc>
        <w:tc>
          <w:tcPr>
            <w:tcW w:w="3626" w:type="dxa"/>
            <w:gridSpan w:val="3"/>
          </w:tcPr>
          <w:p w14:paraId="7ADAD7E5" w14:textId="77777777" w:rsidR="00796620" w:rsidRPr="00856DE7" w:rsidRDefault="00796620" w:rsidP="002149DC">
            <w:pPr>
              <w:spacing w:before="80" w:after="80"/>
              <w:rPr>
                <w:rFonts w:cs="Arial"/>
              </w:rPr>
            </w:pPr>
          </w:p>
        </w:tc>
      </w:tr>
      <w:tr w:rsidR="00796620" w:rsidRPr="00856DE7" w14:paraId="1C85B329" w14:textId="77777777" w:rsidTr="5F912627">
        <w:tc>
          <w:tcPr>
            <w:tcW w:w="5305" w:type="dxa"/>
            <w:gridSpan w:val="6"/>
          </w:tcPr>
          <w:p w14:paraId="6DFA91CD" w14:textId="77777777" w:rsidR="00796620" w:rsidRPr="00856DE7" w:rsidRDefault="00796620" w:rsidP="005C0A0B">
            <w:pPr>
              <w:tabs>
                <w:tab w:val="left" w:pos="278"/>
              </w:tabs>
              <w:spacing w:before="80" w:after="80"/>
              <w:rPr>
                <w:rFonts w:cs="Arial"/>
              </w:rPr>
            </w:pPr>
            <w:r w:rsidRPr="00856DE7">
              <w:rPr>
                <w:rFonts w:cs="Arial"/>
              </w:rPr>
              <w:t xml:space="preserve">Ethnic Origin </w:t>
            </w:r>
            <w:r w:rsidRPr="009D7D55">
              <w:rPr>
                <w:rFonts w:cs="Arial"/>
                <w:i/>
                <w:sz w:val="20"/>
              </w:rPr>
              <w:t>(including hard to reach groups)</w:t>
            </w:r>
          </w:p>
        </w:tc>
        <w:tc>
          <w:tcPr>
            <w:tcW w:w="1134" w:type="dxa"/>
            <w:gridSpan w:val="2"/>
          </w:tcPr>
          <w:p w14:paraId="40B86141" w14:textId="79F80E42" w:rsidR="00796620" w:rsidRPr="00856DE7" w:rsidRDefault="0035351F" w:rsidP="002149DC">
            <w:pPr>
              <w:spacing w:before="80" w:after="80"/>
              <w:rPr>
                <w:rFonts w:cs="Arial"/>
              </w:rPr>
            </w:pPr>
            <w:r>
              <w:rPr>
                <w:rFonts w:cs="Arial"/>
              </w:rPr>
              <w:t>NO</w:t>
            </w:r>
          </w:p>
        </w:tc>
        <w:tc>
          <w:tcPr>
            <w:tcW w:w="3626" w:type="dxa"/>
            <w:gridSpan w:val="3"/>
          </w:tcPr>
          <w:p w14:paraId="7C77D725" w14:textId="77777777" w:rsidR="00796620" w:rsidRPr="00856DE7" w:rsidRDefault="00796620" w:rsidP="002149DC">
            <w:pPr>
              <w:spacing w:before="80" w:after="80"/>
              <w:rPr>
                <w:rFonts w:cs="Arial"/>
              </w:rPr>
            </w:pPr>
          </w:p>
        </w:tc>
      </w:tr>
      <w:tr w:rsidR="00796620" w:rsidRPr="00856DE7" w14:paraId="2822DD6F" w14:textId="77777777" w:rsidTr="5F912627">
        <w:tc>
          <w:tcPr>
            <w:tcW w:w="5305" w:type="dxa"/>
            <w:gridSpan w:val="6"/>
          </w:tcPr>
          <w:p w14:paraId="5036E42A" w14:textId="77777777" w:rsidR="00796620" w:rsidRPr="00856DE7" w:rsidRDefault="00796620" w:rsidP="005C0A0B">
            <w:pPr>
              <w:tabs>
                <w:tab w:val="left" w:pos="278"/>
              </w:tabs>
              <w:spacing w:before="80" w:after="80"/>
              <w:rPr>
                <w:rFonts w:cs="Arial"/>
              </w:rPr>
            </w:pPr>
            <w:r w:rsidRPr="00856DE7">
              <w:rPr>
                <w:rFonts w:cs="Arial"/>
              </w:rPr>
              <w:t>Gender reassignment</w:t>
            </w:r>
          </w:p>
        </w:tc>
        <w:tc>
          <w:tcPr>
            <w:tcW w:w="1134" w:type="dxa"/>
            <w:gridSpan w:val="2"/>
          </w:tcPr>
          <w:p w14:paraId="64DC08E8" w14:textId="3C47FAA1" w:rsidR="00796620" w:rsidRPr="00856DE7" w:rsidRDefault="0035351F" w:rsidP="002149DC">
            <w:pPr>
              <w:spacing w:before="80" w:after="80"/>
              <w:rPr>
                <w:rFonts w:cs="Arial"/>
              </w:rPr>
            </w:pPr>
            <w:r>
              <w:rPr>
                <w:rFonts w:cs="Arial"/>
              </w:rPr>
              <w:t>NO</w:t>
            </w:r>
          </w:p>
        </w:tc>
        <w:tc>
          <w:tcPr>
            <w:tcW w:w="3626" w:type="dxa"/>
            <w:gridSpan w:val="3"/>
          </w:tcPr>
          <w:p w14:paraId="684E8A77" w14:textId="77777777" w:rsidR="00796620" w:rsidRPr="00856DE7" w:rsidRDefault="00796620" w:rsidP="002149DC">
            <w:pPr>
              <w:spacing w:before="80" w:after="80"/>
              <w:rPr>
                <w:rFonts w:cs="Arial"/>
              </w:rPr>
            </w:pPr>
          </w:p>
        </w:tc>
      </w:tr>
      <w:tr w:rsidR="00796620" w:rsidRPr="00856DE7" w14:paraId="07CA0C5B" w14:textId="77777777" w:rsidTr="5F912627">
        <w:tc>
          <w:tcPr>
            <w:tcW w:w="5305" w:type="dxa"/>
            <w:gridSpan w:val="6"/>
          </w:tcPr>
          <w:p w14:paraId="5C95BBDF" w14:textId="77777777" w:rsidR="00796620" w:rsidRPr="00856DE7" w:rsidRDefault="00796620" w:rsidP="005C0A0B">
            <w:pPr>
              <w:tabs>
                <w:tab w:val="left" w:pos="278"/>
              </w:tabs>
              <w:spacing w:before="80" w:after="80"/>
              <w:rPr>
                <w:rFonts w:cs="Arial"/>
              </w:rPr>
            </w:pPr>
            <w:r w:rsidRPr="00856DE7">
              <w:rPr>
                <w:rFonts w:cs="Arial"/>
              </w:rPr>
              <w:t>Pregnancy or Maternity</w:t>
            </w:r>
          </w:p>
        </w:tc>
        <w:tc>
          <w:tcPr>
            <w:tcW w:w="1134" w:type="dxa"/>
            <w:gridSpan w:val="2"/>
          </w:tcPr>
          <w:p w14:paraId="77553DF7" w14:textId="585FDE85" w:rsidR="00796620" w:rsidRPr="00856DE7" w:rsidRDefault="0035351F" w:rsidP="002149DC">
            <w:pPr>
              <w:spacing w:before="80" w:after="80"/>
              <w:rPr>
                <w:rFonts w:cs="Arial"/>
              </w:rPr>
            </w:pPr>
            <w:r>
              <w:rPr>
                <w:rFonts w:cs="Arial"/>
              </w:rPr>
              <w:t>NO</w:t>
            </w:r>
          </w:p>
        </w:tc>
        <w:tc>
          <w:tcPr>
            <w:tcW w:w="3626" w:type="dxa"/>
            <w:gridSpan w:val="3"/>
          </w:tcPr>
          <w:p w14:paraId="1C371269" w14:textId="77777777" w:rsidR="00796620" w:rsidRPr="00856DE7" w:rsidRDefault="00796620" w:rsidP="002149DC">
            <w:pPr>
              <w:spacing w:before="80" w:after="80"/>
              <w:rPr>
                <w:rFonts w:cs="Arial"/>
              </w:rPr>
            </w:pPr>
          </w:p>
        </w:tc>
      </w:tr>
      <w:tr w:rsidR="00796620" w:rsidRPr="00856DE7" w14:paraId="241D44A1" w14:textId="77777777" w:rsidTr="5F912627">
        <w:tc>
          <w:tcPr>
            <w:tcW w:w="5305" w:type="dxa"/>
            <w:gridSpan w:val="6"/>
          </w:tcPr>
          <w:p w14:paraId="6D48BA1A" w14:textId="77777777" w:rsidR="00796620" w:rsidRPr="00856DE7" w:rsidRDefault="00796620" w:rsidP="005C0A0B">
            <w:pPr>
              <w:tabs>
                <w:tab w:val="left" w:pos="278"/>
              </w:tabs>
              <w:spacing w:before="80" w:after="80"/>
              <w:rPr>
                <w:rFonts w:cs="Arial"/>
              </w:rPr>
            </w:pPr>
            <w:r w:rsidRPr="00856DE7">
              <w:rPr>
                <w:rFonts w:cs="Arial"/>
              </w:rPr>
              <w:t>Race</w:t>
            </w:r>
          </w:p>
        </w:tc>
        <w:tc>
          <w:tcPr>
            <w:tcW w:w="1134" w:type="dxa"/>
            <w:gridSpan w:val="2"/>
          </w:tcPr>
          <w:p w14:paraId="1A185662" w14:textId="20BE9BC4" w:rsidR="00796620" w:rsidRPr="00856DE7" w:rsidRDefault="0035351F" w:rsidP="002149DC">
            <w:pPr>
              <w:spacing w:before="80" w:after="80"/>
              <w:rPr>
                <w:rFonts w:cs="Arial"/>
              </w:rPr>
            </w:pPr>
            <w:r>
              <w:rPr>
                <w:rFonts w:cs="Arial"/>
              </w:rPr>
              <w:t>NO</w:t>
            </w:r>
          </w:p>
        </w:tc>
        <w:tc>
          <w:tcPr>
            <w:tcW w:w="3626" w:type="dxa"/>
            <w:gridSpan w:val="3"/>
          </w:tcPr>
          <w:p w14:paraId="32B6A679" w14:textId="77777777" w:rsidR="00796620" w:rsidRPr="00856DE7" w:rsidRDefault="00796620" w:rsidP="002149DC">
            <w:pPr>
              <w:spacing w:before="80" w:after="80"/>
              <w:rPr>
                <w:rFonts w:cs="Arial"/>
              </w:rPr>
            </w:pPr>
          </w:p>
        </w:tc>
      </w:tr>
      <w:tr w:rsidR="00796620" w:rsidRPr="00856DE7" w14:paraId="5B1495C8" w14:textId="77777777" w:rsidTr="5F912627">
        <w:tc>
          <w:tcPr>
            <w:tcW w:w="5305" w:type="dxa"/>
            <w:gridSpan w:val="6"/>
          </w:tcPr>
          <w:p w14:paraId="11DE91B5" w14:textId="77777777" w:rsidR="00796620" w:rsidRPr="00856DE7" w:rsidRDefault="00796620" w:rsidP="005C0A0B">
            <w:pPr>
              <w:tabs>
                <w:tab w:val="left" w:pos="278"/>
              </w:tabs>
              <w:spacing w:before="80" w:after="80"/>
              <w:rPr>
                <w:rFonts w:cs="Arial"/>
              </w:rPr>
            </w:pPr>
            <w:r w:rsidRPr="00856DE7">
              <w:rPr>
                <w:rFonts w:cs="Arial"/>
              </w:rPr>
              <w:t>Sex</w:t>
            </w:r>
          </w:p>
        </w:tc>
        <w:tc>
          <w:tcPr>
            <w:tcW w:w="1134" w:type="dxa"/>
            <w:gridSpan w:val="2"/>
          </w:tcPr>
          <w:p w14:paraId="22888F98" w14:textId="4B6A802D" w:rsidR="00796620" w:rsidRPr="00856DE7" w:rsidRDefault="0035351F" w:rsidP="002149DC">
            <w:pPr>
              <w:spacing w:before="80" w:after="80"/>
              <w:rPr>
                <w:rFonts w:cs="Arial"/>
              </w:rPr>
            </w:pPr>
            <w:r>
              <w:rPr>
                <w:rFonts w:cs="Arial"/>
              </w:rPr>
              <w:t>NO</w:t>
            </w:r>
          </w:p>
        </w:tc>
        <w:tc>
          <w:tcPr>
            <w:tcW w:w="3626" w:type="dxa"/>
            <w:gridSpan w:val="3"/>
          </w:tcPr>
          <w:p w14:paraId="6BF96E97" w14:textId="77777777" w:rsidR="00796620" w:rsidRPr="00856DE7" w:rsidRDefault="00796620" w:rsidP="002149DC">
            <w:pPr>
              <w:spacing w:before="80" w:after="80"/>
              <w:rPr>
                <w:rFonts w:cs="Arial"/>
              </w:rPr>
            </w:pPr>
          </w:p>
        </w:tc>
      </w:tr>
      <w:tr w:rsidR="00796620" w:rsidRPr="00856DE7" w14:paraId="2C34FE14" w14:textId="77777777" w:rsidTr="5F912627">
        <w:tc>
          <w:tcPr>
            <w:tcW w:w="5305" w:type="dxa"/>
            <w:gridSpan w:val="6"/>
          </w:tcPr>
          <w:p w14:paraId="3FC30E78" w14:textId="77777777" w:rsidR="00796620" w:rsidRPr="00856DE7" w:rsidRDefault="00796620" w:rsidP="005C0A0B">
            <w:pPr>
              <w:tabs>
                <w:tab w:val="left" w:pos="278"/>
              </w:tabs>
              <w:spacing w:before="80" w:after="80"/>
              <w:rPr>
                <w:rFonts w:cs="Arial"/>
              </w:rPr>
            </w:pPr>
            <w:r w:rsidRPr="00856DE7">
              <w:rPr>
                <w:rFonts w:cs="Arial"/>
              </w:rPr>
              <w:t>Religion and Belief</w:t>
            </w:r>
          </w:p>
        </w:tc>
        <w:tc>
          <w:tcPr>
            <w:tcW w:w="1134" w:type="dxa"/>
            <w:gridSpan w:val="2"/>
          </w:tcPr>
          <w:p w14:paraId="390EF241" w14:textId="4FC40D3F" w:rsidR="00796620" w:rsidRPr="00856DE7" w:rsidRDefault="0035351F" w:rsidP="002149DC">
            <w:pPr>
              <w:spacing w:before="80" w:after="80"/>
              <w:rPr>
                <w:rFonts w:cs="Arial"/>
              </w:rPr>
            </w:pPr>
            <w:r>
              <w:rPr>
                <w:rFonts w:cs="Arial"/>
              </w:rPr>
              <w:t>NO</w:t>
            </w:r>
          </w:p>
        </w:tc>
        <w:tc>
          <w:tcPr>
            <w:tcW w:w="3626" w:type="dxa"/>
            <w:gridSpan w:val="3"/>
          </w:tcPr>
          <w:p w14:paraId="0D70673B" w14:textId="77777777" w:rsidR="00796620" w:rsidRPr="00856DE7" w:rsidRDefault="00796620" w:rsidP="002149DC">
            <w:pPr>
              <w:spacing w:before="80" w:after="80"/>
              <w:rPr>
                <w:rFonts w:cs="Arial"/>
              </w:rPr>
            </w:pPr>
          </w:p>
        </w:tc>
      </w:tr>
      <w:tr w:rsidR="00796620" w:rsidRPr="00856DE7" w14:paraId="629D8424" w14:textId="77777777" w:rsidTr="5F912627">
        <w:tc>
          <w:tcPr>
            <w:tcW w:w="5305" w:type="dxa"/>
            <w:gridSpan w:val="6"/>
          </w:tcPr>
          <w:p w14:paraId="08040F39" w14:textId="77777777" w:rsidR="00796620" w:rsidRPr="00856DE7" w:rsidRDefault="00796620" w:rsidP="005C0A0B">
            <w:pPr>
              <w:tabs>
                <w:tab w:val="left" w:pos="278"/>
              </w:tabs>
              <w:spacing w:before="80" w:after="80"/>
              <w:rPr>
                <w:rFonts w:cs="Arial"/>
              </w:rPr>
            </w:pPr>
            <w:r w:rsidRPr="00856DE7">
              <w:rPr>
                <w:rFonts w:cs="Arial"/>
              </w:rPr>
              <w:t>Sexual Orientation</w:t>
            </w:r>
          </w:p>
        </w:tc>
        <w:tc>
          <w:tcPr>
            <w:tcW w:w="1134" w:type="dxa"/>
            <w:gridSpan w:val="2"/>
          </w:tcPr>
          <w:p w14:paraId="1EC8BBE6" w14:textId="2F3D0DFE" w:rsidR="00796620" w:rsidRPr="00856DE7" w:rsidRDefault="0035351F" w:rsidP="002149DC">
            <w:pPr>
              <w:spacing w:before="80" w:after="80"/>
              <w:rPr>
                <w:rFonts w:cs="Arial"/>
              </w:rPr>
            </w:pPr>
            <w:r>
              <w:rPr>
                <w:rFonts w:cs="Arial"/>
              </w:rPr>
              <w:t>NO</w:t>
            </w:r>
          </w:p>
        </w:tc>
        <w:tc>
          <w:tcPr>
            <w:tcW w:w="3626" w:type="dxa"/>
            <w:gridSpan w:val="3"/>
          </w:tcPr>
          <w:p w14:paraId="15DD3741" w14:textId="77777777" w:rsidR="00796620" w:rsidRPr="00856DE7" w:rsidRDefault="00796620" w:rsidP="002149DC">
            <w:pPr>
              <w:spacing w:before="80" w:after="80"/>
              <w:rPr>
                <w:rFonts w:cs="Arial"/>
              </w:rPr>
            </w:pPr>
          </w:p>
        </w:tc>
      </w:tr>
      <w:tr w:rsidR="00796620" w:rsidRPr="00856DE7" w14:paraId="5AAF2CD6" w14:textId="77777777" w:rsidTr="5F912627">
        <w:trPr>
          <w:trHeight w:val="782"/>
        </w:trPr>
        <w:tc>
          <w:tcPr>
            <w:tcW w:w="10065" w:type="dxa"/>
            <w:gridSpan w:val="11"/>
          </w:tcPr>
          <w:p w14:paraId="4FE33683" w14:textId="77777777" w:rsidR="00796620" w:rsidRPr="00856DE7" w:rsidRDefault="00796620" w:rsidP="002149DC">
            <w:pPr>
              <w:spacing w:before="80" w:after="80"/>
              <w:ind w:left="1"/>
              <w:rPr>
                <w:rFonts w:cs="Arial"/>
                <w:b/>
              </w:rPr>
            </w:pPr>
            <w:r w:rsidRPr="00856DE7">
              <w:rPr>
                <w:rFonts w:cs="Arial"/>
                <w:b/>
              </w:rPr>
              <w:t xml:space="preserve">If the answer to </w:t>
            </w:r>
            <w:proofErr w:type="gramStart"/>
            <w:r w:rsidRPr="00856DE7">
              <w:rPr>
                <w:rFonts w:cs="Arial"/>
                <w:b/>
              </w:rPr>
              <w:t>all of</w:t>
            </w:r>
            <w:proofErr w:type="gramEnd"/>
            <w:r w:rsidRPr="00856DE7">
              <w:rPr>
                <w:rFonts w:cs="Arial"/>
                <w:b/>
              </w:rPr>
              <w:t xml:space="preserve"> the above questions is NO, the </w:t>
            </w:r>
            <w:r>
              <w:rPr>
                <w:rFonts w:cs="Arial"/>
                <w:b/>
              </w:rPr>
              <w:t>Equality Impact Assessment</w:t>
            </w:r>
            <w:r w:rsidRPr="00856DE7">
              <w:rPr>
                <w:rFonts w:cs="Arial"/>
                <w:b/>
              </w:rPr>
              <w:t xml:space="preserve"> is complete. </w:t>
            </w:r>
            <w:r>
              <w:rPr>
                <w:rFonts w:cs="Arial"/>
                <w:b/>
              </w:rPr>
              <w:t xml:space="preserve"> </w:t>
            </w:r>
            <w:r w:rsidRPr="00856DE7">
              <w:rPr>
                <w:rFonts w:cs="Arial"/>
                <w:b/>
              </w:rPr>
              <w:t>If YES, a full impact assessment is r</w:t>
            </w:r>
            <w:r>
              <w:rPr>
                <w:rFonts w:cs="Arial"/>
                <w:b/>
              </w:rPr>
              <w:t>equired: go on to stage 2.</w:t>
            </w:r>
          </w:p>
        </w:tc>
      </w:tr>
      <w:tr w:rsidR="00796620" w:rsidRPr="00856DE7" w14:paraId="7F64DBEB" w14:textId="77777777" w:rsidTr="5F912627">
        <w:tc>
          <w:tcPr>
            <w:tcW w:w="10065" w:type="dxa"/>
            <w:gridSpan w:val="11"/>
            <w:shd w:val="clear" w:color="auto" w:fill="B6DDE8"/>
          </w:tcPr>
          <w:p w14:paraId="0D57E124" w14:textId="77777777" w:rsidR="00796620" w:rsidRPr="00856DE7" w:rsidRDefault="00796620" w:rsidP="002149DC">
            <w:pPr>
              <w:spacing w:before="80" w:after="80"/>
              <w:rPr>
                <w:rFonts w:cs="Arial"/>
                <w:b/>
                <w:bCs/>
              </w:rPr>
            </w:pPr>
            <w:r w:rsidRPr="00856DE7">
              <w:rPr>
                <w:rFonts w:cs="Arial"/>
                <w:b/>
                <w:bCs/>
              </w:rPr>
              <w:t>Stage 2 – Full Impact Assessment</w:t>
            </w:r>
          </w:p>
        </w:tc>
      </w:tr>
      <w:tr w:rsidR="00796620" w:rsidRPr="00856DE7" w14:paraId="0979E79D" w14:textId="77777777" w:rsidTr="5F912627">
        <w:tc>
          <w:tcPr>
            <w:tcW w:w="3403" w:type="dxa"/>
            <w:gridSpan w:val="3"/>
            <w:shd w:val="clear" w:color="auto" w:fill="FFFFFF" w:themeFill="background1"/>
          </w:tcPr>
          <w:p w14:paraId="5B55CF44" w14:textId="77777777" w:rsidR="00796620" w:rsidRPr="00856DE7" w:rsidRDefault="00796620" w:rsidP="002149DC">
            <w:pPr>
              <w:spacing w:before="80" w:after="80"/>
              <w:ind w:left="34"/>
              <w:jc w:val="center"/>
              <w:rPr>
                <w:rFonts w:cs="Arial"/>
                <w:b/>
                <w:bCs/>
              </w:rPr>
            </w:pPr>
            <w:r w:rsidRPr="00856DE7">
              <w:rPr>
                <w:rFonts w:cs="Arial"/>
                <w:b/>
                <w:bCs/>
              </w:rPr>
              <w:t>What is the impact</w:t>
            </w:r>
          </w:p>
        </w:tc>
        <w:tc>
          <w:tcPr>
            <w:tcW w:w="1276" w:type="dxa"/>
            <w:gridSpan w:val="2"/>
            <w:shd w:val="clear" w:color="auto" w:fill="FFFFFF" w:themeFill="background1"/>
          </w:tcPr>
          <w:p w14:paraId="05FD3827" w14:textId="77777777" w:rsidR="00796620" w:rsidRPr="00856DE7" w:rsidRDefault="00796620" w:rsidP="002149DC">
            <w:pPr>
              <w:spacing w:before="80" w:after="80"/>
              <w:jc w:val="center"/>
              <w:rPr>
                <w:rFonts w:cs="Arial"/>
                <w:b/>
                <w:bCs/>
              </w:rPr>
            </w:pPr>
            <w:r w:rsidRPr="00856DE7">
              <w:rPr>
                <w:rFonts w:cs="Arial"/>
                <w:b/>
                <w:bCs/>
              </w:rPr>
              <w:t>Level of Impact</w:t>
            </w:r>
          </w:p>
        </w:tc>
        <w:tc>
          <w:tcPr>
            <w:tcW w:w="3260" w:type="dxa"/>
            <w:gridSpan w:val="5"/>
            <w:shd w:val="clear" w:color="auto" w:fill="FFFFFF" w:themeFill="background1"/>
          </w:tcPr>
          <w:p w14:paraId="5E5FD87A" w14:textId="77777777" w:rsidR="00796620" w:rsidRPr="00856DE7" w:rsidRDefault="00796620" w:rsidP="002149DC">
            <w:pPr>
              <w:spacing w:before="80" w:after="80"/>
              <w:ind w:left="33"/>
              <w:jc w:val="center"/>
              <w:rPr>
                <w:rFonts w:cs="Arial"/>
                <w:b/>
                <w:bCs/>
              </w:rPr>
            </w:pPr>
            <w:r w:rsidRPr="00856DE7">
              <w:rPr>
                <w:rFonts w:cs="Arial"/>
                <w:b/>
                <w:bCs/>
              </w:rPr>
              <w:t>Mitigating Actions</w:t>
            </w:r>
          </w:p>
          <w:p w14:paraId="1E00B5E3" w14:textId="77777777" w:rsidR="00796620" w:rsidRPr="00856DE7" w:rsidRDefault="00796620" w:rsidP="002149DC">
            <w:pPr>
              <w:spacing w:before="80" w:after="80"/>
              <w:ind w:left="33"/>
              <w:jc w:val="center"/>
              <w:rPr>
                <w:rFonts w:cs="Arial"/>
                <w:b/>
                <w:bCs/>
                <w:sz w:val="16"/>
                <w:szCs w:val="16"/>
              </w:rPr>
            </w:pPr>
            <w:r w:rsidRPr="00856DE7">
              <w:rPr>
                <w:rFonts w:cs="Arial"/>
                <w:b/>
                <w:bCs/>
                <w:sz w:val="16"/>
                <w:szCs w:val="16"/>
              </w:rPr>
              <w:t xml:space="preserve">(what needs to be done to </w:t>
            </w:r>
            <w:proofErr w:type="spellStart"/>
            <w:r w:rsidRPr="00856DE7">
              <w:rPr>
                <w:rFonts w:cs="Arial"/>
                <w:b/>
                <w:bCs/>
                <w:sz w:val="16"/>
                <w:szCs w:val="16"/>
              </w:rPr>
              <w:t>minimise</w:t>
            </w:r>
            <w:proofErr w:type="spellEnd"/>
            <w:r w:rsidRPr="00856DE7">
              <w:rPr>
                <w:rFonts w:cs="Arial"/>
                <w:b/>
                <w:bCs/>
                <w:sz w:val="16"/>
                <w:szCs w:val="16"/>
              </w:rPr>
              <w:t xml:space="preserve"> / remove the impact)</w:t>
            </w:r>
          </w:p>
        </w:tc>
        <w:tc>
          <w:tcPr>
            <w:tcW w:w="2126" w:type="dxa"/>
            <w:shd w:val="clear" w:color="auto" w:fill="FFFFFF" w:themeFill="background1"/>
          </w:tcPr>
          <w:p w14:paraId="1C4E78B8" w14:textId="77777777" w:rsidR="00796620" w:rsidRPr="00856DE7" w:rsidRDefault="00796620" w:rsidP="002149DC">
            <w:pPr>
              <w:spacing w:before="80" w:after="80"/>
              <w:ind w:left="34"/>
              <w:jc w:val="center"/>
              <w:rPr>
                <w:rFonts w:cs="Arial"/>
                <w:b/>
                <w:bCs/>
              </w:rPr>
            </w:pPr>
            <w:r w:rsidRPr="00856DE7">
              <w:rPr>
                <w:rFonts w:cs="Arial"/>
                <w:b/>
                <w:bCs/>
              </w:rPr>
              <w:t>Responsible Officer</w:t>
            </w:r>
          </w:p>
        </w:tc>
      </w:tr>
      <w:tr w:rsidR="00796620" w:rsidRPr="00856DE7" w14:paraId="63227A98" w14:textId="77777777" w:rsidTr="5F912627">
        <w:tc>
          <w:tcPr>
            <w:tcW w:w="3403" w:type="dxa"/>
            <w:gridSpan w:val="3"/>
          </w:tcPr>
          <w:p w14:paraId="69CB7C58" w14:textId="13BC4300" w:rsidR="00796620" w:rsidRPr="00856DE7" w:rsidRDefault="00796620" w:rsidP="002149DC">
            <w:pPr>
              <w:spacing w:before="80" w:after="80"/>
              <w:rPr>
                <w:rFonts w:cs="Arial"/>
              </w:rPr>
            </w:pPr>
          </w:p>
        </w:tc>
        <w:tc>
          <w:tcPr>
            <w:tcW w:w="1276" w:type="dxa"/>
            <w:gridSpan w:val="2"/>
          </w:tcPr>
          <w:p w14:paraId="3E6E1F66" w14:textId="77777777" w:rsidR="00796620" w:rsidRPr="00856DE7" w:rsidRDefault="00796620" w:rsidP="002149DC">
            <w:pPr>
              <w:spacing w:before="80" w:after="80"/>
              <w:ind w:left="34"/>
              <w:rPr>
                <w:rFonts w:cs="Arial"/>
              </w:rPr>
            </w:pPr>
          </w:p>
        </w:tc>
        <w:tc>
          <w:tcPr>
            <w:tcW w:w="3260" w:type="dxa"/>
            <w:gridSpan w:val="5"/>
          </w:tcPr>
          <w:p w14:paraId="21B76752" w14:textId="77777777" w:rsidR="00796620" w:rsidRPr="00856DE7" w:rsidRDefault="00796620" w:rsidP="002149DC">
            <w:pPr>
              <w:spacing w:before="80" w:after="80"/>
              <w:ind w:left="33"/>
              <w:rPr>
                <w:rFonts w:cs="Arial"/>
              </w:rPr>
            </w:pPr>
          </w:p>
        </w:tc>
        <w:tc>
          <w:tcPr>
            <w:tcW w:w="2126" w:type="dxa"/>
          </w:tcPr>
          <w:p w14:paraId="14037169" w14:textId="77777777" w:rsidR="00796620" w:rsidRPr="00856DE7" w:rsidRDefault="00796620" w:rsidP="002149DC">
            <w:pPr>
              <w:spacing w:before="80" w:after="80"/>
              <w:ind w:left="34" w:hanging="533"/>
              <w:rPr>
                <w:rFonts w:cs="Arial"/>
              </w:rPr>
            </w:pPr>
          </w:p>
        </w:tc>
      </w:tr>
      <w:tr w:rsidR="00796620" w:rsidRPr="00856DE7" w14:paraId="161D9DAB" w14:textId="77777777" w:rsidTr="5F912627">
        <w:tc>
          <w:tcPr>
            <w:tcW w:w="10065" w:type="dxa"/>
            <w:gridSpan w:val="11"/>
            <w:shd w:val="clear" w:color="auto" w:fill="B6DDE8"/>
          </w:tcPr>
          <w:p w14:paraId="3CC614ED" w14:textId="77777777" w:rsidR="00796620" w:rsidRPr="00856DE7" w:rsidRDefault="00796620" w:rsidP="002149DC">
            <w:pPr>
              <w:spacing w:before="80" w:after="80"/>
              <w:rPr>
                <w:rFonts w:cs="Arial"/>
                <w:b/>
              </w:rPr>
            </w:pPr>
            <w:r w:rsidRPr="00856DE7">
              <w:rPr>
                <w:rFonts w:cs="Arial"/>
                <w:b/>
              </w:rPr>
              <w:t>Monitoring of Actions</w:t>
            </w:r>
          </w:p>
        </w:tc>
      </w:tr>
      <w:tr w:rsidR="00796620" w:rsidRPr="00856DE7" w14:paraId="681709BA" w14:textId="77777777" w:rsidTr="5F912627">
        <w:tc>
          <w:tcPr>
            <w:tcW w:w="10065" w:type="dxa"/>
            <w:gridSpan w:val="11"/>
          </w:tcPr>
          <w:p w14:paraId="09366D3C" w14:textId="77777777" w:rsidR="00796620" w:rsidRPr="00856DE7" w:rsidRDefault="00796620" w:rsidP="002149DC">
            <w:pPr>
              <w:spacing w:before="80" w:after="80"/>
              <w:rPr>
                <w:rFonts w:cs="Arial"/>
              </w:rPr>
            </w:pPr>
            <w:r w:rsidRPr="00856DE7">
              <w:rPr>
                <w:rFonts w:cs="Arial"/>
              </w:rPr>
              <w:t>The monitoring of actions to mitigate any impact will be undertaken at the appropriate level</w:t>
            </w:r>
          </w:p>
          <w:p w14:paraId="08094E8C" w14:textId="77777777" w:rsidR="00796620" w:rsidRPr="00856DE7" w:rsidRDefault="00796620" w:rsidP="002149DC">
            <w:pPr>
              <w:tabs>
                <w:tab w:val="left" w:pos="5168"/>
              </w:tabs>
              <w:spacing w:before="80" w:after="80"/>
              <w:rPr>
                <w:rFonts w:cs="Arial"/>
              </w:rPr>
            </w:pPr>
          </w:p>
        </w:tc>
      </w:tr>
    </w:tbl>
    <w:p w14:paraId="56DD1F9A" w14:textId="77777777" w:rsidR="00796620" w:rsidRDefault="00796620" w:rsidP="00796620">
      <w:pPr>
        <w:sectPr w:rsidR="00796620" w:rsidSect="00E20B52">
          <w:pgSz w:w="11906" w:h="16838"/>
          <w:pgMar w:top="1440" w:right="1440" w:bottom="851" w:left="1440" w:header="708" w:footer="220" w:gutter="0"/>
          <w:cols w:space="708"/>
          <w:titlePg/>
          <w:docGrid w:linePitch="360"/>
        </w:sectPr>
      </w:pPr>
    </w:p>
    <w:p w14:paraId="7C123A86" w14:textId="77777777" w:rsidR="00101BBD" w:rsidRPr="00856DE7" w:rsidRDefault="00942F86" w:rsidP="00A50DC5">
      <w:pPr>
        <w:pStyle w:val="Heading1"/>
        <w:ind w:hanging="530"/>
      </w:pPr>
      <w:bookmarkStart w:id="31" w:name="_Toc202452460"/>
      <w:r w:rsidRPr="00856DE7">
        <w:lastRenderedPageBreak/>
        <w:t>IMPLEMENTATION PLAN</w:t>
      </w:r>
      <w:bookmarkEnd w:id="31"/>
      <w:r w:rsidRPr="00856DE7">
        <w:t xml:space="preserve"> </w:t>
      </w:r>
    </w:p>
    <w:p w14:paraId="625C0FE1" w14:textId="4393A311" w:rsidR="00635894" w:rsidRPr="00502E62" w:rsidRDefault="00635894" w:rsidP="00824956">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A00AAC" w:rsidRPr="00856DE7" w14:paraId="0B92C064" w14:textId="77777777" w:rsidTr="002149DC">
        <w:tc>
          <w:tcPr>
            <w:tcW w:w="2952" w:type="dxa"/>
            <w:shd w:val="clear" w:color="auto" w:fill="E0E0E0"/>
          </w:tcPr>
          <w:p w14:paraId="00DA057B" w14:textId="77777777" w:rsidR="00A00AAC" w:rsidRPr="00856DE7" w:rsidRDefault="00A00AAC" w:rsidP="00A33A94">
            <w:pPr>
              <w:spacing w:before="60" w:after="60"/>
              <w:jc w:val="center"/>
              <w:rPr>
                <w:rFonts w:cs="Arial"/>
                <w:b/>
                <w:szCs w:val="22"/>
              </w:rPr>
            </w:pPr>
            <w:r w:rsidRPr="00856DE7">
              <w:rPr>
                <w:rFonts w:cs="Arial"/>
                <w:b/>
                <w:szCs w:val="22"/>
              </w:rPr>
              <w:t>Action</w:t>
            </w:r>
          </w:p>
        </w:tc>
        <w:tc>
          <w:tcPr>
            <w:tcW w:w="2952" w:type="dxa"/>
            <w:shd w:val="clear" w:color="auto" w:fill="E0E0E0"/>
          </w:tcPr>
          <w:p w14:paraId="4710F1E3" w14:textId="77777777" w:rsidR="00A00AAC" w:rsidRPr="00856DE7" w:rsidRDefault="00A00AAC" w:rsidP="00A33A94">
            <w:pPr>
              <w:spacing w:before="60" w:after="60"/>
              <w:jc w:val="center"/>
              <w:rPr>
                <w:rFonts w:cs="Arial"/>
                <w:b/>
                <w:szCs w:val="22"/>
              </w:rPr>
            </w:pPr>
            <w:r w:rsidRPr="00856DE7">
              <w:rPr>
                <w:rFonts w:cs="Arial"/>
                <w:b/>
                <w:szCs w:val="22"/>
              </w:rPr>
              <w:t>Responsible Person</w:t>
            </w:r>
          </w:p>
        </w:tc>
        <w:tc>
          <w:tcPr>
            <w:tcW w:w="2952" w:type="dxa"/>
            <w:shd w:val="clear" w:color="auto" w:fill="E0E0E0"/>
          </w:tcPr>
          <w:p w14:paraId="701C5FC3" w14:textId="77777777" w:rsidR="00A00AAC" w:rsidRPr="00856DE7" w:rsidRDefault="00A00AAC" w:rsidP="00A33A94">
            <w:pPr>
              <w:spacing w:before="60" w:after="60"/>
              <w:jc w:val="center"/>
              <w:rPr>
                <w:rFonts w:cs="Arial"/>
                <w:b/>
                <w:szCs w:val="22"/>
              </w:rPr>
            </w:pPr>
            <w:r w:rsidRPr="00856DE7">
              <w:rPr>
                <w:rFonts w:cs="Arial"/>
                <w:b/>
                <w:szCs w:val="22"/>
              </w:rPr>
              <w:t>Planned timeline</w:t>
            </w:r>
          </w:p>
        </w:tc>
      </w:tr>
      <w:tr w:rsidR="00A33A94" w:rsidRPr="00856DE7" w14:paraId="2F655C49" w14:textId="77777777" w:rsidTr="002149DC">
        <w:tc>
          <w:tcPr>
            <w:tcW w:w="2952" w:type="dxa"/>
          </w:tcPr>
          <w:p w14:paraId="17EB7C3F" w14:textId="6B912461" w:rsidR="00A33A94" w:rsidRPr="00A33A94" w:rsidRDefault="00B341F2" w:rsidP="00A33A94">
            <w:pPr>
              <w:spacing w:before="60" w:after="60"/>
              <w:rPr>
                <w:rFonts w:cs="Arial"/>
              </w:rPr>
            </w:pPr>
            <w:r>
              <w:rPr>
                <w:rFonts w:cs="Arial"/>
              </w:rPr>
              <w:t>Upload on to Procedural Document Library (PDL)</w:t>
            </w:r>
          </w:p>
        </w:tc>
        <w:tc>
          <w:tcPr>
            <w:tcW w:w="2952" w:type="dxa"/>
          </w:tcPr>
          <w:p w14:paraId="400A2E0A" w14:textId="325E7D28" w:rsidR="00A33A94" w:rsidRPr="00A33A94" w:rsidRDefault="00B341F2" w:rsidP="00A33A94">
            <w:pPr>
              <w:spacing w:before="60" w:after="60"/>
              <w:rPr>
                <w:rFonts w:cs="Arial"/>
                <w:szCs w:val="22"/>
              </w:rPr>
            </w:pPr>
            <w:r>
              <w:rPr>
                <w:rFonts w:cs="Arial"/>
                <w:szCs w:val="22"/>
              </w:rPr>
              <w:t>Secretary/Administration Assistant (Quality and Governance Team)</w:t>
            </w:r>
          </w:p>
        </w:tc>
        <w:tc>
          <w:tcPr>
            <w:tcW w:w="2952" w:type="dxa"/>
          </w:tcPr>
          <w:p w14:paraId="61951577" w14:textId="50B6C85D" w:rsidR="00A33A94" w:rsidRPr="00856DE7" w:rsidRDefault="00B341F2" w:rsidP="00A33A94">
            <w:pPr>
              <w:spacing w:before="60" w:after="60"/>
              <w:rPr>
                <w:rFonts w:cs="Arial"/>
              </w:rPr>
            </w:pPr>
            <w:r>
              <w:rPr>
                <w:rFonts w:cs="Arial"/>
              </w:rPr>
              <w:t>Within 2 weeks of ratification</w:t>
            </w:r>
          </w:p>
        </w:tc>
      </w:tr>
      <w:tr w:rsidR="00A33A94" w:rsidRPr="00856DE7" w14:paraId="08EB0C8B" w14:textId="77777777" w:rsidTr="002149DC">
        <w:tc>
          <w:tcPr>
            <w:tcW w:w="2952" w:type="dxa"/>
          </w:tcPr>
          <w:p w14:paraId="5E921F21" w14:textId="6C955ABB" w:rsidR="00A33A94" w:rsidRPr="00A33A94" w:rsidRDefault="00E35F70" w:rsidP="00A33A94">
            <w:pPr>
              <w:spacing w:before="60" w:after="60"/>
              <w:rPr>
                <w:rFonts w:cs="Arial"/>
              </w:rPr>
            </w:pPr>
            <w:r>
              <w:rPr>
                <w:rFonts w:cs="Arial"/>
              </w:rPr>
              <w:t>Upload to Virtual College (VC)</w:t>
            </w:r>
          </w:p>
        </w:tc>
        <w:tc>
          <w:tcPr>
            <w:tcW w:w="2952" w:type="dxa"/>
          </w:tcPr>
          <w:p w14:paraId="26C12130" w14:textId="33F8B27D" w:rsidR="00A33A94" w:rsidRPr="00A33A94" w:rsidRDefault="00E35F70" w:rsidP="00A33A94">
            <w:pPr>
              <w:spacing w:before="60" w:after="60"/>
              <w:rPr>
                <w:rFonts w:cs="Arial"/>
                <w:szCs w:val="22"/>
              </w:rPr>
            </w:pPr>
            <w:r>
              <w:rPr>
                <w:rFonts w:cs="Arial"/>
                <w:szCs w:val="22"/>
              </w:rPr>
              <w:t>Head of Education and Development</w:t>
            </w:r>
          </w:p>
        </w:tc>
        <w:tc>
          <w:tcPr>
            <w:tcW w:w="2952" w:type="dxa"/>
          </w:tcPr>
          <w:p w14:paraId="5A22ED00" w14:textId="1DDA3EA1" w:rsidR="00A33A94" w:rsidRPr="00856DE7" w:rsidRDefault="00E35F70" w:rsidP="00A33A94">
            <w:pPr>
              <w:spacing w:before="60" w:after="60"/>
              <w:rPr>
                <w:rFonts w:cs="Arial"/>
              </w:rPr>
            </w:pPr>
            <w:r>
              <w:rPr>
                <w:rFonts w:cs="Arial"/>
              </w:rPr>
              <w:t>Within 2 weeks of ratification</w:t>
            </w:r>
          </w:p>
        </w:tc>
      </w:tr>
      <w:tr w:rsidR="00502E62" w:rsidRPr="00856DE7" w14:paraId="3FB9A0DE" w14:textId="77777777" w:rsidTr="002149DC">
        <w:tc>
          <w:tcPr>
            <w:tcW w:w="2952" w:type="dxa"/>
          </w:tcPr>
          <w:p w14:paraId="3C4CE76B" w14:textId="62B34B55" w:rsidR="00502E62" w:rsidRPr="00A33A94" w:rsidRDefault="000A0B40" w:rsidP="00A33A94">
            <w:pPr>
              <w:spacing w:before="60" w:after="60"/>
              <w:rPr>
                <w:rFonts w:cs="Arial"/>
              </w:rPr>
            </w:pPr>
            <w:r>
              <w:rPr>
                <w:rFonts w:cs="Arial"/>
              </w:rPr>
              <w:t>Communication regarding updated policy on PDL and VC</w:t>
            </w:r>
          </w:p>
        </w:tc>
        <w:tc>
          <w:tcPr>
            <w:tcW w:w="2952" w:type="dxa"/>
          </w:tcPr>
          <w:p w14:paraId="6D56D32D" w14:textId="4731085B" w:rsidR="00502E62" w:rsidRDefault="000A0B40" w:rsidP="00A33A94">
            <w:pPr>
              <w:spacing w:before="60" w:after="60"/>
              <w:rPr>
                <w:rFonts w:cs="Arial"/>
                <w:szCs w:val="22"/>
              </w:rPr>
            </w:pPr>
            <w:r>
              <w:rPr>
                <w:rFonts w:cs="Arial"/>
                <w:szCs w:val="22"/>
              </w:rPr>
              <w:t>Secretary/Administration Assistant (Quality and Governance Team)</w:t>
            </w:r>
          </w:p>
        </w:tc>
        <w:tc>
          <w:tcPr>
            <w:tcW w:w="2952" w:type="dxa"/>
          </w:tcPr>
          <w:p w14:paraId="36F06759" w14:textId="66EEE3A4" w:rsidR="00502E62" w:rsidRPr="00856DE7" w:rsidRDefault="000A0B40" w:rsidP="00A33A94">
            <w:pPr>
              <w:spacing w:before="60" w:after="60"/>
              <w:rPr>
                <w:rFonts w:cs="Arial"/>
              </w:rPr>
            </w:pPr>
            <w:r>
              <w:rPr>
                <w:rFonts w:cs="Arial"/>
              </w:rPr>
              <w:t>Once uploaded onto PDL and VC</w:t>
            </w:r>
          </w:p>
        </w:tc>
      </w:tr>
    </w:tbl>
    <w:p w14:paraId="7D05ED4A" w14:textId="77777777" w:rsidR="00101BBD" w:rsidRPr="00856DE7" w:rsidRDefault="00F97AD3" w:rsidP="00856DE7">
      <w:pPr>
        <w:pStyle w:val="Heading1"/>
      </w:pPr>
      <w:bookmarkStart w:id="32" w:name="_Toc202452461"/>
      <w:r w:rsidRPr="00856DE7">
        <w:t>GLOSSARY OF TERMS</w:t>
      </w:r>
      <w:bookmarkEnd w:id="32"/>
    </w:p>
    <w:p w14:paraId="607EE8E5" w14:textId="1EE9AA32" w:rsidR="00796620" w:rsidRDefault="00A12FBC" w:rsidP="00824956">
      <w:pPr>
        <w:rPr>
          <w:rFonts w:cs="Arial"/>
        </w:rPr>
      </w:pPr>
      <w:r>
        <w:rPr>
          <w:rFonts w:cs="Arial"/>
        </w:rPr>
        <w:t xml:space="preserve">Not </w:t>
      </w:r>
      <w:r w:rsidR="00233468">
        <w:rPr>
          <w:rFonts w:cs="Arial"/>
        </w:rPr>
        <w:t>all definitions are used within this Policy however are pertinent to the administration of injectable medicines.</w:t>
      </w:r>
    </w:p>
    <w:p w14:paraId="126B61B4" w14:textId="717AB76F" w:rsidR="00233468" w:rsidRPr="006E562F" w:rsidRDefault="00233468" w:rsidP="00AE18C4">
      <w:pPr>
        <w:spacing w:before="240"/>
        <w:rPr>
          <w:rFonts w:cs="Arial"/>
          <w:b/>
          <w:bCs/>
        </w:rPr>
      </w:pPr>
      <w:r w:rsidRPr="006E562F">
        <w:rPr>
          <w:rFonts w:cs="Arial"/>
          <w:b/>
          <w:bCs/>
        </w:rPr>
        <w:t>Administer</w:t>
      </w:r>
    </w:p>
    <w:p w14:paraId="29E265CC" w14:textId="28D0734B" w:rsidR="00126C06" w:rsidRDefault="00233468" w:rsidP="00824956">
      <w:pPr>
        <w:rPr>
          <w:rFonts w:cs="Arial"/>
        </w:rPr>
      </w:pPr>
      <w:r>
        <w:rPr>
          <w:rFonts w:cs="Arial"/>
        </w:rPr>
        <w:t>To give to a patient a medicinal product, dressing or med</w:t>
      </w:r>
      <w:r w:rsidR="004B2A59">
        <w:rPr>
          <w:rFonts w:cs="Arial"/>
        </w:rPr>
        <w:t xml:space="preserve">icinal </w:t>
      </w:r>
      <w:r w:rsidR="00C35B2F">
        <w:rPr>
          <w:rFonts w:cs="Arial"/>
        </w:rPr>
        <w:t>device, either by introduction into the body, either orally or by injection, etc., or by external application (e.g. application of an ointment or dressing)</w:t>
      </w:r>
    </w:p>
    <w:p w14:paraId="10F3E084" w14:textId="34FCFE73" w:rsidR="00EC562E" w:rsidRPr="006E562F" w:rsidRDefault="00EC562E" w:rsidP="00AE18C4">
      <w:pPr>
        <w:spacing w:before="240"/>
        <w:rPr>
          <w:rFonts w:cs="Arial"/>
          <w:b/>
          <w:bCs/>
        </w:rPr>
      </w:pPr>
      <w:r w:rsidRPr="006E562F">
        <w:rPr>
          <w:rFonts w:cs="Arial"/>
          <w:b/>
          <w:bCs/>
        </w:rPr>
        <w:t>ADR</w:t>
      </w:r>
    </w:p>
    <w:p w14:paraId="51482356" w14:textId="1C1920D4" w:rsidR="00EC562E" w:rsidRDefault="00EC562E" w:rsidP="006E562F">
      <w:pPr>
        <w:spacing w:before="0"/>
        <w:rPr>
          <w:rFonts w:cs="Arial"/>
        </w:rPr>
      </w:pPr>
      <w:r>
        <w:rPr>
          <w:rFonts w:cs="Arial"/>
        </w:rPr>
        <w:t>Adverse drug reaction</w:t>
      </w:r>
    </w:p>
    <w:p w14:paraId="1EDA72A5" w14:textId="77777777" w:rsidR="006E562F" w:rsidRPr="006E562F" w:rsidRDefault="00EC562E" w:rsidP="00AE18C4">
      <w:pPr>
        <w:spacing w:before="240"/>
        <w:rPr>
          <w:rFonts w:cs="Arial"/>
          <w:b/>
          <w:bCs/>
        </w:rPr>
      </w:pPr>
      <w:r w:rsidRPr="006E562F">
        <w:rPr>
          <w:rFonts w:cs="Arial"/>
          <w:b/>
          <w:bCs/>
        </w:rPr>
        <w:t>Aseptic Technique</w:t>
      </w:r>
      <w:r w:rsidR="006E562F" w:rsidRPr="006E562F">
        <w:rPr>
          <w:rFonts w:cs="Arial"/>
          <w:b/>
          <w:bCs/>
        </w:rPr>
        <w:t xml:space="preserve"> (Aseptic non-touch technique, ANTT)</w:t>
      </w:r>
    </w:p>
    <w:p w14:paraId="1EC3A55E" w14:textId="69C7A677" w:rsidR="00EC562E" w:rsidRDefault="006E562F" w:rsidP="006E562F">
      <w:pPr>
        <w:spacing w:before="0"/>
        <w:rPr>
          <w:rFonts w:cs="Arial"/>
        </w:rPr>
      </w:pPr>
      <w:r>
        <w:rPr>
          <w:rFonts w:cs="Arial"/>
        </w:rPr>
        <w:t>A technique used during a procedure to minimize the risk of microbial contamination</w:t>
      </w:r>
      <w:r w:rsidR="00EC562E">
        <w:rPr>
          <w:rFonts w:cs="Arial"/>
        </w:rPr>
        <w:t xml:space="preserve"> </w:t>
      </w:r>
    </w:p>
    <w:p w14:paraId="47BBB392" w14:textId="014F4AC5" w:rsidR="004C58AB" w:rsidRDefault="004C58AB" w:rsidP="006E562F">
      <w:pPr>
        <w:spacing w:before="0"/>
        <w:rPr>
          <w:rFonts w:cs="Arial"/>
        </w:rPr>
      </w:pPr>
      <w:r>
        <w:rPr>
          <w:rFonts w:cs="Arial"/>
        </w:rPr>
        <w:t>o</w:t>
      </w:r>
      <w:r w:rsidR="006E562F">
        <w:rPr>
          <w:rFonts w:cs="Arial"/>
        </w:rPr>
        <w:t>f an invasive device</w:t>
      </w:r>
    </w:p>
    <w:p w14:paraId="28A04381" w14:textId="77777777" w:rsidR="004C58AB" w:rsidRPr="008971BC" w:rsidRDefault="004C58AB" w:rsidP="00AE18C4">
      <w:pPr>
        <w:spacing w:before="240"/>
        <w:rPr>
          <w:rFonts w:cs="Arial"/>
          <w:b/>
          <w:bCs/>
        </w:rPr>
      </w:pPr>
      <w:proofErr w:type="spellStart"/>
      <w:r w:rsidRPr="008971BC">
        <w:rPr>
          <w:rFonts w:cs="Arial"/>
          <w:b/>
          <w:bCs/>
        </w:rPr>
        <w:t>Authorisation</w:t>
      </w:r>
      <w:proofErr w:type="spellEnd"/>
      <w:r w:rsidRPr="008971BC">
        <w:rPr>
          <w:rFonts w:cs="Arial"/>
          <w:b/>
          <w:bCs/>
        </w:rPr>
        <w:t xml:space="preserve"> to medicate Chart</w:t>
      </w:r>
    </w:p>
    <w:p w14:paraId="2BA9E7C4" w14:textId="7950249C" w:rsidR="00895B33" w:rsidRDefault="008971BC" w:rsidP="006E562F">
      <w:pPr>
        <w:spacing w:before="0"/>
        <w:rPr>
          <w:rFonts w:cs="Arial"/>
        </w:rPr>
      </w:pPr>
      <w:r>
        <w:rPr>
          <w:rFonts w:cs="Arial"/>
        </w:rPr>
        <w:t>Written authorization to administer prescribed medicines, ideally this should be on the approved FNHC documentation however FNHC acknowledges that other forms of written authorization may be used e.g. hospital medication chart, written instruction in the patient’s care record.</w:t>
      </w:r>
    </w:p>
    <w:p w14:paraId="7BBD5720" w14:textId="77777777" w:rsidR="00B0597C" w:rsidRPr="00895B33" w:rsidRDefault="00B0597C" w:rsidP="00AE18C4">
      <w:pPr>
        <w:spacing w:before="240"/>
        <w:rPr>
          <w:rFonts w:cs="Arial"/>
          <w:b/>
          <w:bCs/>
        </w:rPr>
      </w:pPr>
      <w:r w:rsidRPr="00895B33">
        <w:rPr>
          <w:rFonts w:cs="Arial"/>
          <w:b/>
          <w:bCs/>
        </w:rPr>
        <w:t>Bolus (push)</w:t>
      </w:r>
    </w:p>
    <w:p w14:paraId="08BE3555" w14:textId="101139D9" w:rsidR="00D215A0" w:rsidRDefault="00B0597C" w:rsidP="006E562F">
      <w:pPr>
        <w:spacing w:before="0"/>
        <w:rPr>
          <w:rFonts w:cs="Arial"/>
        </w:rPr>
      </w:pPr>
      <w:r>
        <w:rPr>
          <w:rFonts w:cs="Arial"/>
        </w:rPr>
        <w:t>Administration from a syringe of a single dose of a sterile solution directly</w:t>
      </w:r>
      <w:r w:rsidR="00895B33">
        <w:rPr>
          <w:rFonts w:cs="Arial"/>
        </w:rPr>
        <w:t xml:space="preserve"> into a tissue, organ or vein, over a short period of time usually, between 30 seconds and 10 minutes.</w:t>
      </w:r>
    </w:p>
    <w:p w14:paraId="3C097812" w14:textId="77777777" w:rsidR="00D215A0" w:rsidRPr="00D215A0" w:rsidRDefault="00D215A0" w:rsidP="00AE18C4">
      <w:pPr>
        <w:spacing w:before="240"/>
        <w:rPr>
          <w:rFonts w:cs="Arial"/>
          <w:b/>
          <w:bCs/>
        </w:rPr>
      </w:pPr>
      <w:r w:rsidRPr="00D215A0">
        <w:rPr>
          <w:rFonts w:cs="Arial"/>
          <w:b/>
          <w:bCs/>
        </w:rPr>
        <w:t>Cannula</w:t>
      </w:r>
    </w:p>
    <w:p w14:paraId="4DA97470" w14:textId="160F14AE" w:rsidR="00D215A0" w:rsidRDefault="00D215A0" w:rsidP="006E562F">
      <w:pPr>
        <w:spacing w:before="0"/>
        <w:rPr>
          <w:rFonts w:cs="Arial"/>
        </w:rPr>
      </w:pPr>
      <w:r>
        <w:rPr>
          <w:rFonts w:cs="Arial"/>
        </w:rPr>
        <w:t>A thin tube inserted into a vein or body cavity to administer medication.</w:t>
      </w:r>
    </w:p>
    <w:p w14:paraId="4AA264CA" w14:textId="77777777" w:rsidR="00D215A0" w:rsidRPr="0014526D" w:rsidRDefault="00D215A0" w:rsidP="00AE18C4">
      <w:pPr>
        <w:spacing w:before="240"/>
        <w:rPr>
          <w:rFonts w:cs="Arial"/>
          <w:b/>
          <w:bCs/>
        </w:rPr>
      </w:pPr>
      <w:r w:rsidRPr="0014526D">
        <w:rPr>
          <w:rFonts w:cs="Arial"/>
          <w:b/>
          <w:bCs/>
        </w:rPr>
        <w:lastRenderedPageBreak/>
        <w:t>Diluent</w:t>
      </w:r>
    </w:p>
    <w:p w14:paraId="5A131310" w14:textId="1AEEBCEF" w:rsidR="00793059" w:rsidRDefault="00D215A0" w:rsidP="006E562F">
      <w:pPr>
        <w:spacing w:before="0"/>
        <w:rPr>
          <w:rFonts w:cs="Arial"/>
        </w:rPr>
      </w:pPr>
      <w:r>
        <w:rPr>
          <w:rFonts w:cs="Arial"/>
        </w:rPr>
        <w:t>Any sterile injection solution, such as water for injection or sodium chloride 0.9%</w:t>
      </w:r>
      <w:r w:rsidR="001A5AA3">
        <w:rPr>
          <w:rFonts w:cs="Arial"/>
        </w:rPr>
        <w:t>, commonly used to dissolve (reconstitute) or dilute a medicine immediately before administration.</w:t>
      </w:r>
    </w:p>
    <w:p w14:paraId="2EE81363" w14:textId="6468D485" w:rsidR="00793059" w:rsidRPr="0014526D" w:rsidRDefault="00793059" w:rsidP="00AE18C4">
      <w:pPr>
        <w:spacing w:before="240"/>
        <w:rPr>
          <w:rFonts w:cs="Arial"/>
          <w:b/>
          <w:bCs/>
        </w:rPr>
      </w:pPr>
      <w:r w:rsidRPr="0014526D">
        <w:rPr>
          <w:rFonts w:cs="Arial"/>
          <w:b/>
          <w:bCs/>
        </w:rPr>
        <w:t>Extravasation</w:t>
      </w:r>
    </w:p>
    <w:p w14:paraId="1DBB3394" w14:textId="18FC9096" w:rsidR="00793059" w:rsidRDefault="00793059" w:rsidP="006E562F">
      <w:pPr>
        <w:spacing w:before="0"/>
        <w:rPr>
          <w:rFonts w:cs="Arial"/>
        </w:rPr>
      </w:pPr>
      <w:r>
        <w:rPr>
          <w:rFonts w:cs="Arial"/>
        </w:rPr>
        <w:t xml:space="preserve">Leakage of drug or IV fluid from veins or inadvertent administration into subcutaneous or subdermal tissue. </w:t>
      </w:r>
      <w:proofErr w:type="gramStart"/>
      <w:r>
        <w:rPr>
          <w:rFonts w:cs="Arial"/>
        </w:rPr>
        <w:t>Can</w:t>
      </w:r>
      <w:proofErr w:type="gramEnd"/>
      <w:r>
        <w:rPr>
          <w:rFonts w:cs="Arial"/>
        </w:rPr>
        <w:t xml:space="preserve"> cause tissue necrosis.</w:t>
      </w:r>
    </w:p>
    <w:p w14:paraId="3E98DAE2" w14:textId="2A555030" w:rsidR="00793059" w:rsidRDefault="00793059" w:rsidP="00AE18C4">
      <w:pPr>
        <w:spacing w:before="240"/>
        <w:rPr>
          <w:rFonts w:cs="Arial"/>
        </w:rPr>
      </w:pPr>
      <w:r w:rsidRPr="0014526D">
        <w:rPr>
          <w:rFonts w:cs="Arial"/>
          <w:b/>
          <w:bCs/>
        </w:rPr>
        <w:t>Flush, Flushing Solution</w:t>
      </w:r>
      <w:r>
        <w:rPr>
          <w:rFonts w:cs="Arial"/>
        </w:rPr>
        <w:t>.</w:t>
      </w:r>
    </w:p>
    <w:p w14:paraId="5CF0A81D" w14:textId="703986CA" w:rsidR="009A0F98" w:rsidRDefault="009A0F98" w:rsidP="006E562F">
      <w:pPr>
        <w:spacing w:before="0"/>
        <w:rPr>
          <w:rFonts w:cs="Arial"/>
        </w:rPr>
      </w:pPr>
      <w:r>
        <w:rPr>
          <w:rFonts w:cs="Arial"/>
        </w:rPr>
        <w:t>A sterile solution of diluent such as sodium chloride injection 0.9%, used to purge (flush) access devices e.g. cannula before and/or after injection of a medicine or between injections of different medicines.</w:t>
      </w:r>
    </w:p>
    <w:p w14:paraId="7D715EA3" w14:textId="1927B30D" w:rsidR="009A0F98" w:rsidRPr="0014526D" w:rsidRDefault="009A0F98" w:rsidP="00AE18C4">
      <w:pPr>
        <w:spacing w:before="240"/>
        <w:rPr>
          <w:rFonts w:cs="Arial"/>
          <w:b/>
          <w:bCs/>
        </w:rPr>
      </w:pPr>
      <w:r w:rsidRPr="0014526D">
        <w:rPr>
          <w:rFonts w:cs="Arial"/>
          <w:b/>
          <w:bCs/>
        </w:rPr>
        <w:t>Hazard, Risk</w:t>
      </w:r>
    </w:p>
    <w:p w14:paraId="58A37809" w14:textId="48F6F97C" w:rsidR="00AA2F30" w:rsidRDefault="00DE0F64" w:rsidP="006E562F">
      <w:pPr>
        <w:spacing w:before="0"/>
        <w:rPr>
          <w:rFonts w:cs="Arial"/>
        </w:rPr>
      </w:pPr>
      <w:r>
        <w:rPr>
          <w:rFonts w:cs="Arial"/>
        </w:rPr>
        <w:t>Any factor, such as a difficult procedure or a complex calculation, with the potential to cause harm if carried out incorrectly.</w:t>
      </w:r>
    </w:p>
    <w:p w14:paraId="5ED033E6" w14:textId="7C9F54D3" w:rsidR="00AA2F30" w:rsidRPr="0014526D" w:rsidRDefault="00AA2F30" w:rsidP="00AE18C4">
      <w:pPr>
        <w:spacing w:before="240"/>
        <w:rPr>
          <w:rFonts w:cs="Arial"/>
          <w:b/>
          <w:bCs/>
        </w:rPr>
      </w:pPr>
      <w:r w:rsidRPr="0014526D">
        <w:rPr>
          <w:rFonts w:cs="Arial"/>
          <w:b/>
          <w:bCs/>
        </w:rPr>
        <w:t>Infusion</w:t>
      </w:r>
    </w:p>
    <w:p w14:paraId="5BB884C2" w14:textId="6D67C1EC" w:rsidR="005A1AFE" w:rsidRDefault="00AA2F30" w:rsidP="006E562F">
      <w:pPr>
        <w:spacing w:before="0"/>
        <w:rPr>
          <w:rFonts w:cs="Arial"/>
        </w:rPr>
      </w:pPr>
      <w:r>
        <w:rPr>
          <w:rFonts w:cs="Arial"/>
        </w:rPr>
        <w:t>Administration, from a syringe, or other rigid or collapsible container e.g. plastic bag, or a volume of sterile solution of an injectable</w:t>
      </w:r>
      <w:r w:rsidR="00E55FB8">
        <w:rPr>
          <w:rFonts w:cs="Arial"/>
        </w:rPr>
        <w:t xml:space="preserve"> medicine directly into the tissue, organ, vein or artery, at a constan</w:t>
      </w:r>
      <w:r w:rsidR="00AE7867">
        <w:rPr>
          <w:rFonts w:cs="Arial"/>
        </w:rPr>
        <w:t>t rate, under gravity or by means of an electronic or mechanical pump or other means of rate control, over a defined per</w:t>
      </w:r>
      <w:r w:rsidR="005A1AFE">
        <w:rPr>
          <w:rFonts w:cs="Arial"/>
        </w:rPr>
        <w:t>iod usually of at least 10 minutes.</w:t>
      </w:r>
    </w:p>
    <w:p w14:paraId="6F9A87F6" w14:textId="6FD74EBC" w:rsidR="005A1AFE" w:rsidRPr="0014526D" w:rsidRDefault="005A1AFE" w:rsidP="00AE18C4">
      <w:pPr>
        <w:spacing w:before="240"/>
        <w:rPr>
          <w:rFonts w:cs="Arial"/>
          <w:b/>
          <w:bCs/>
        </w:rPr>
      </w:pPr>
      <w:r w:rsidRPr="0014526D">
        <w:rPr>
          <w:rFonts w:cs="Arial"/>
          <w:b/>
          <w:bCs/>
        </w:rPr>
        <w:t>Intravenous (IV)</w:t>
      </w:r>
    </w:p>
    <w:p w14:paraId="0F8A7E51" w14:textId="2C4C0A53" w:rsidR="005A1AFE" w:rsidRDefault="005A1AFE" w:rsidP="006E562F">
      <w:pPr>
        <w:spacing w:before="0"/>
        <w:rPr>
          <w:rFonts w:cs="Arial"/>
        </w:rPr>
      </w:pPr>
      <w:r>
        <w:rPr>
          <w:rFonts w:cs="Arial"/>
        </w:rPr>
        <w:t>Medicines that are administered directly into the vein.</w:t>
      </w:r>
    </w:p>
    <w:p w14:paraId="1865B3F6" w14:textId="1D6FE300" w:rsidR="005A1AFE" w:rsidRPr="0014526D" w:rsidRDefault="005A1AFE" w:rsidP="00AE18C4">
      <w:pPr>
        <w:spacing w:before="240"/>
        <w:rPr>
          <w:rFonts w:cs="Arial"/>
          <w:b/>
          <w:bCs/>
        </w:rPr>
      </w:pPr>
      <w:r w:rsidRPr="0014526D">
        <w:rPr>
          <w:rFonts w:cs="Arial"/>
          <w:b/>
          <w:bCs/>
        </w:rPr>
        <w:t>Intr</w:t>
      </w:r>
      <w:r w:rsidR="00114DDF" w:rsidRPr="0014526D">
        <w:rPr>
          <w:rFonts w:cs="Arial"/>
          <w:b/>
          <w:bCs/>
        </w:rPr>
        <w:t>amuscular (IM)</w:t>
      </w:r>
    </w:p>
    <w:p w14:paraId="57E14F73" w14:textId="3EF78304" w:rsidR="00114DDF" w:rsidRDefault="00114DDF" w:rsidP="006E562F">
      <w:pPr>
        <w:spacing w:before="0"/>
        <w:rPr>
          <w:rFonts w:cs="Arial"/>
        </w:rPr>
      </w:pPr>
      <w:r>
        <w:rPr>
          <w:rFonts w:cs="Arial"/>
        </w:rPr>
        <w:t>Medicines that are given by needle into the muscle.</w:t>
      </w:r>
    </w:p>
    <w:p w14:paraId="37BD00CA" w14:textId="42CD734A" w:rsidR="00114DDF" w:rsidRPr="00AE18C4" w:rsidRDefault="00114DDF" w:rsidP="00AE18C4">
      <w:pPr>
        <w:spacing w:before="240"/>
        <w:rPr>
          <w:b/>
          <w:bCs/>
        </w:rPr>
      </w:pPr>
      <w:r w:rsidRPr="00AE18C4">
        <w:rPr>
          <w:b/>
          <w:bCs/>
        </w:rPr>
        <w:t>Medication Error</w:t>
      </w:r>
    </w:p>
    <w:p w14:paraId="6F8E5BEB" w14:textId="13340F90" w:rsidR="00114DDF" w:rsidRDefault="00114DDF" w:rsidP="006E562F">
      <w:pPr>
        <w:spacing w:before="0"/>
        <w:rPr>
          <w:rFonts w:cs="Arial"/>
        </w:rPr>
      </w:pPr>
      <w:r>
        <w:rPr>
          <w:rFonts w:cs="Arial"/>
        </w:rPr>
        <w:t xml:space="preserve">Any preventable event that may cause or lead to inappropriate medication use and/or patient harm while the medication is </w:t>
      </w:r>
      <w:proofErr w:type="gramStart"/>
      <w:r>
        <w:rPr>
          <w:rFonts w:cs="Arial"/>
        </w:rPr>
        <w:t>in</w:t>
      </w:r>
      <w:proofErr w:type="gramEnd"/>
      <w:r>
        <w:rPr>
          <w:rFonts w:cs="Arial"/>
        </w:rPr>
        <w:t xml:space="preserve"> the control of </w:t>
      </w:r>
      <w:proofErr w:type="gramStart"/>
      <w:r>
        <w:rPr>
          <w:rFonts w:cs="Arial"/>
        </w:rPr>
        <w:t>the healthcare</w:t>
      </w:r>
      <w:proofErr w:type="gramEnd"/>
      <w:r>
        <w:rPr>
          <w:rFonts w:cs="Arial"/>
        </w:rPr>
        <w:t xml:space="preserve"> professional, patient or carer.</w:t>
      </w:r>
    </w:p>
    <w:p w14:paraId="44128033" w14:textId="04B34495" w:rsidR="00114DDF" w:rsidRPr="00AE18C4" w:rsidRDefault="00114DDF" w:rsidP="00AE18C4">
      <w:pPr>
        <w:spacing w:before="240"/>
        <w:rPr>
          <w:b/>
          <w:bCs/>
        </w:rPr>
      </w:pPr>
      <w:r w:rsidRPr="00AE18C4">
        <w:rPr>
          <w:b/>
          <w:bCs/>
        </w:rPr>
        <w:t>Medicine</w:t>
      </w:r>
    </w:p>
    <w:p w14:paraId="19B01E80" w14:textId="766A6F13" w:rsidR="00D724FD" w:rsidRDefault="00114DDF" w:rsidP="006E562F">
      <w:pPr>
        <w:spacing w:before="0"/>
        <w:rPr>
          <w:rFonts w:cs="Arial"/>
        </w:rPr>
      </w:pPr>
      <w:r>
        <w:rPr>
          <w:rFonts w:cs="Arial"/>
        </w:rPr>
        <w:t>Any substance or combination of substances presented for treating</w:t>
      </w:r>
      <w:r w:rsidR="00F3772C">
        <w:rPr>
          <w:rFonts w:cs="Arial"/>
        </w:rPr>
        <w:t xml:space="preserve"> or preventing disease. Any substance or combination of substances, which may be administered with a view to making a medical diagnosis or restoring, correcting or modifying or maintaining p</w:t>
      </w:r>
      <w:r w:rsidR="00D724FD">
        <w:rPr>
          <w:rFonts w:cs="Arial"/>
        </w:rPr>
        <w:t>hysiological or psychological functions.</w:t>
      </w:r>
    </w:p>
    <w:p w14:paraId="447AF4EA" w14:textId="1FE8879A" w:rsidR="00D724FD" w:rsidRPr="00AE18C4" w:rsidRDefault="00D724FD" w:rsidP="00AE18C4">
      <w:pPr>
        <w:spacing w:before="240"/>
        <w:rPr>
          <w:b/>
          <w:bCs/>
        </w:rPr>
      </w:pPr>
      <w:r w:rsidRPr="00AE18C4">
        <w:rPr>
          <w:b/>
          <w:bCs/>
        </w:rPr>
        <w:t>Non-Medical Prescriber (NMP)</w:t>
      </w:r>
    </w:p>
    <w:p w14:paraId="6DD19151" w14:textId="5BE145DA" w:rsidR="007D26E3" w:rsidRDefault="00D724FD" w:rsidP="006E562F">
      <w:pPr>
        <w:spacing w:before="0"/>
        <w:rPr>
          <w:rFonts w:cs="Arial"/>
        </w:rPr>
      </w:pPr>
      <w:r>
        <w:rPr>
          <w:rFonts w:cs="Arial"/>
        </w:rPr>
        <w:t>NMP’s are Nurses</w:t>
      </w:r>
      <w:r w:rsidR="00C479DC">
        <w:rPr>
          <w:rFonts w:cs="Arial"/>
        </w:rPr>
        <w:t>, Therapists, Optometrists, Physiotherapists, Podiatrists and Radio</w:t>
      </w:r>
      <w:r w:rsidR="007D26E3">
        <w:rPr>
          <w:rFonts w:cs="Arial"/>
        </w:rPr>
        <w:t>graphers or Pharmacists who have satisfactorily completed the Supplementary and Independent Prescribing Course.</w:t>
      </w:r>
    </w:p>
    <w:p w14:paraId="4E052E56" w14:textId="0986A4A8" w:rsidR="007D26E3" w:rsidRPr="00AE18C4" w:rsidRDefault="007D26E3" w:rsidP="00AE18C4">
      <w:pPr>
        <w:spacing w:before="240"/>
        <w:rPr>
          <w:b/>
          <w:bCs/>
        </w:rPr>
      </w:pPr>
      <w:r w:rsidRPr="00AE18C4">
        <w:rPr>
          <w:b/>
          <w:bCs/>
        </w:rPr>
        <w:t>Parent</w:t>
      </w:r>
      <w:r w:rsidR="00F348C5" w:rsidRPr="00AE18C4">
        <w:rPr>
          <w:b/>
          <w:bCs/>
        </w:rPr>
        <w:t>e</w:t>
      </w:r>
      <w:r w:rsidR="00B66315" w:rsidRPr="00AE18C4">
        <w:rPr>
          <w:b/>
          <w:bCs/>
        </w:rPr>
        <w:t>r</w:t>
      </w:r>
      <w:r w:rsidR="00F348C5" w:rsidRPr="00AE18C4">
        <w:rPr>
          <w:b/>
          <w:bCs/>
        </w:rPr>
        <w:t>al</w:t>
      </w:r>
    </w:p>
    <w:p w14:paraId="6123496B" w14:textId="3CA72554" w:rsidR="007D26E3" w:rsidRDefault="007D26E3" w:rsidP="006E562F">
      <w:pPr>
        <w:spacing w:before="0"/>
        <w:rPr>
          <w:rFonts w:cs="Arial"/>
        </w:rPr>
      </w:pPr>
      <w:r>
        <w:rPr>
          <w:rFonts w:cs="Arial"/>
        </w:rPr>
        <w:lastRenderedPageBreak/>
        <w:t>Administered by any route other than the alimentary canal, e.g.by intravenous, subcutaneous or intramuscular routes.</w:t>
      </w:r>
    </w:p>
    <w:p w14:paraId="07809AA5" w14:textId="736B3E2C" w:rsidR="007D26E3" w:rsidRPr="00AE18C4" w:rsidRDefault="007D26E3" w:rsidP="00AE18C4">
      <w:pPr>
        <w:spacing w:before="240"/>
        <w:rPr>
          <w:b/>
          <w:bCs/>
        </w:rPr>
      </w:pPr>
      <w:r w:rsidRPr="00AE18C4">
        <w:rPr>
          <w:b/>
          <w:bCs/>
        </w:rPr>
        <w:t>Prescribe</w:t>
      </w:r>
    </w:p>
    <w:p w14:paraId="58CFB559" w14:textId="2FADA6A7" w:rsidR="00C25BF8" w:rsidRDefault="007D26E3" w:rsidP="006E562F">
      <w:pPr>
        <w:spacing w:before="0"/>
        <w:rPr>
          <w:rFonts w:cs="Arial"/>
        </w:rPr>
      </w:pPr>
      <w:r>
        <w:rPr>
          <w:rFonts w:cs="Arial"/>
        </w:rPr>
        <w:t>To order</w:t>
      </w:r>
      <w:r w:rsidR="00C25BF8">
        <w:rPr>
          <w:rFonts w:cs="Arial"/>
        </w:rPr>
        <w:t>, in writing (or electronically) the supply of a medicinal project.</w:t>
      </w:r>
    </w:p>
    <w:p w14:paraId="755BB76E" w14:textId="58D0B09A" w:rsidR="00C25BF8" w:rsidRPr="00AE18C4" w:rsidRDefault="00C25BF8" w:rsidP="00AE18C4">
      <w:pPr>
        <w:spacing w:before="240"/>
        <w:rPr>
          <w:b/>
          <w:bCs/>
        </w:rPr>
      </w:pPr>
      <w:r w:rsidRPr="00AE18C4">
        <w:rPr>
          <w:b/>
          <w:bCs/>
        </w:rPr>
        <w:t>Prescriber</w:t>
      </w:r>
    </w:p>
    <w:p w14:paraId="742D561A" w14:textId="241DA10E" w:rsidR="00C25BF8" w:rsidRDefault="00C25BF8" w:rsidP="006E562F">
      <w:pPr>
        <w:spacing w:before="0"/>
        <w:rPr>
          <w:rFonts w:cs="Arial"/>
        </w:rPr>
      </w:pPr>
      <w:r>
        <w:rPr>
          <w:rFonts w:cs="Arial"/>
        </w:rPr>
        <w:t>A healthcare professional that is legally authorized to prescribe a medicinal product, including medical and non-medical prescribers.</w:t>
      </w:r>
    </w:p>
    <w:p w14:paraId="4849F7EC" w14:textId="78C5CFF1" w:rsidR="00C25BF8" w:rsidRPr="00AE18C4" w:rsidRDefault="00C25BF8" w:rsidP="00AE18C4">
      <w:pPr>
        <w:spacing w:before="240"/>
        <w:rPr>
          <w:b/>
          <w:bCs/>
        </w:rPr>
      </w:pPr>
      <w:r w:rsidRPr="00AE18C4">
        <w:rPr>
          <w:b/>
          <w:bCs/>
        </w:rPr>
        <w:t>Prescription</w:t>
      </w:r>
    </w:p>
    <w:p w14:paraId="727F09BA" w14:textId="1F173874" w:rsidR="0026334B" w:rsidRDefault="00C25BF8" w:rsidP="006E562F">
      <w:pPr>
        <w:spacing w:before="0"/>
        <w:rPr>
          <w:rFonts w:cs="Arial"/>
        </w:rPr>
      </w:pPr>
      <w:r>
        <w:rPr>
          <w:rFonts w:cs="Arial"/>
        </w:rPr>
        <w:t xml:space="preserve">An order for the dispensing of a medicinal product.  The order is presented to </w:t>
      </w:r>
      <w:r w:rsidR="0026334B">
        <w:rPr>
          <w:rFonts w:cs="Arial"/>
        </w:rPr>
        <w:t>a professional who is legally authorized to dispense.</w:t>
      </w:r>
    </w:p>
    <w:p w14:paraId="7191A576" w14:textId="5EE38B8D" w:rsidR="0026334B" w:rsidRPr="00AE18C4" w:rsidRDefault="0026334B" w:rsidP="00AE18C4">
      <w:pPr>
        <w:spacing w:before="240"/>
        <w:rPr>
          <w:b/>
          <w:bCs/>
        </w:rPr>
      </w:pPr>
      <w:r w:rsidRPr="00AE18C4">
        <w:rPr>
          <w:b/>
          <w:bCs/>
        </w:rPr>
        <w:t>Standard Operating Procedure</w:t>
      </w:r>
    </w:p>
    <w:p w14:paraId="4FE4D53A" w14:textId="1BC03847" w:rsidR="005E36F9" w:rsidRDefault="00EE4BDE" w:rsidP="00EE4BDE">
      <w:pPr>
        <w:spacing w:after="5" w:line="240" w:lineRule="auto"/>
        <w:ind w:right="8"/>
      </w:pPr>
      <w:r>
        <w:t xml:space="preserve">Step by step instructions to assist staff carry out complex routine activities  </w:t>
      </w:r>
    </w:p>
    <w:p w14:paraId="0A09C075" w14:textId="6FD7274C" w:rsidR="00EE4BDE" w:rsidRPr="00AE18C4" w:rsidRDefault="00EE4BDE" w:rsidP="00AE18C4">
      <w:pPr>
        <w:spacing w:before="240"/>
        <w:rPr>
          <w:b/>
          <w:bCs/>
        </w:rPr>
      </w:pPr>
      <w:r w:rsidRPr="00AE18C4">
        <w:rPr>
          <w:b/>
          <w:bCs/>
        </w:rPr>
        <w:t xml:space="preserve">Subcutaneous  </w:t>
      </w:r>
    </w:p>
    <w:p w14:paraId="3328F41D" w14:textId="77777777" w:rsidR="00EE4BDE" w:rsidRDefault="00EE4BDE" w:rsidP="00AE18C4">
      <w:r>
        <w:t xml:space="preserve">Medicines given just below the skin  </w:t>
      </w:r>
    </w:p>
    <w:p w14:paraId="728AFC12" w14:textId="77777777" w:rsidR="00114DDF" w:rsidRDefault="00114DDF" w:rsidP="006E562F">
      <w:pPr>
        <w:spacing w:before="0"/>
        <w:rPr>
          <w:rFonts w:cs="Arial"/>
        </w:rPr>
      </w:pPr>
    </w:p>
    <w:p w14:paraId="61F7C666" w14:textId="77777777" w:rsidR="001A5AA3" w:rsidRDefault="001A5AA3" w:rsidP="006E562F">
      <w:pPr>
        <w:spacing w:before="0"/>
        <w:rPr>
          <w:rFonts w:cs="Arial"/>
        </w:rPr>
      </w:pPr>
    </w:p>
    <w:p w14:paraId="63A2DC08" w14:textId="13F4D415" w:rsidR="001A5AA3" w:rsidRDefault="001A5AA3" w:rsidP="006E562F">
      <w:pPr>
        <w:spacing w:before="0"/>
        <w:rPr>
          <w:rFonts w:cs="Arial"/>
        </w:rPr>
        <w:sectPr w:rsidR="001A5AA3" w:rsidSect="00856DE7">
          <w:pgSz w:w="11906" w:h="16838"/>
          <w:pgMar w:top="1440" w:right="1440" w:bottom="1440" w:left="1440" w:header="708" w:footer="220" w:gutter="0"/>
          <w:cols w:space="708"/>
          <w:titlePg/>
          <w:docGrid w:linePitch="360"/>
        </w:sectPr>
      </w:pPr>
    </w:p>
    <w:p w14:paraId="7FB98EFA" w14:textId="77777777" w:rsidR="007B2215" w:rsidRPr="00856DE7" w:rsidRDefault="00F97AD3" w:rsidP="00856DE7">
      <w:pPr>
        <w:pStyle w:val="Heading1"/>
      </w:pPr>
      <w:bookmarkStart w:id="33" w:name="_Toc202452462"/>
      <w:r w:rsidRPr="00856DE7">
        <w:lastRenderedPageBreak/>
        <w:t>REFERENCES</w:t>
      </w:r>
      <w:bookmarkEnd w:id="33"/>
    </w:p>
    <w:p w14:paraId="7EE3A8DF" w14:textId="01C97D70" w:rsidR="00D93906" w:rsidRDefault="00D93906" w:rsidP="00AE18C4">
      <w:pPr>
        <w:spacing w:before="240"/>
      </w:pPr>
      <w:r>
        <w:t>Public Health England. (20</w:t>
      </w:r>
      <w:r w:rsidR="0BAF9562">
        <w:t>21</w:t>
      </w:r>
      <w:r>
        <w:t xml:space="preserve">) </w:t>
      </w:r>
      <w:r w:rsidRPr="5F912627">
        <w:rPr>
          <w:i/>
          <w:iCs/>
        </w:rPr>
        <w:t>Immunisations Against Infectious Diseases Available:</w:t>
      </w:r>
      <w:r>
        <w:t xml:space="preserve"> </w:t>
      </w:r>
      <w:hyperlink r:id="rId20">
        <w:r w:rsidRPr="5F912627">
          <w:rPr>
            <w:color w:val="0563C1"/>
            <w:u w:val="single"/>
          </w:rPr>
          <w:t>https://assets.publishing.service.gov.uk/government/uploads/system/uploads/attach</w:t>
        </w:r>
      </w:hyperlink>
      <w:hyperlink r:id="rId21">
        <w:r w:rsidRPr="5F912627">
          <w:rPr>
            <w:color w:val="0563C1"/>
          </w:rPr>
          <w:t xml:space="preserve"> </w:t>
        </w:r>
      </w:hyperlink>
      <w:hyperlink r:id="rId22">
        <w:proofErr w:type="spellStart"/>
        <w:r w:rsidRPr="5F912627">
          <w:rPr>
            <w:color w:val="0563C1"/>
            <w:u w:val="single"/>
          </w:rPr>
          <w:t>ment_data</w:t>
        </w:r>
        <w:proofErr w:type="spellEnd"/>
        <w:r w:rsidRPr="5F912627">
          <w:rPr>
            <w:color w:val="0563C1"/>
            <w:u w:val="single"/>
          </w:rPr>
          <w:t>/file/660902/Green_book_cover_and_contents.pd</w:t>
        </w:r>
      </w:hyperlink>
      <w:hyperlink r:id="rId23">
        <w:r w:rsidRPr="5F912627">
          <w:rPr>
            <w:color w:val="0563C1"/>
            <w:u w:val="single"/>
          </w:rPr>
          <w:t>f</w:t>
        </w:r>
      </w:hyperlink>
      <w:hyperlink r:id="rId24">
        <w:r>
          <w:t xml:space="preserve">  </w:t>
        </w:r>
        <w:r w:rsidR="2CF80CF6">
          <w:t>(last</w:t>
        </w:r>
      </w:hyperlink>
      <w:r w:rsidR="2CF80CF6">
        <w:t xml:space="preserve"> accessed 29/04/2025)</w:t>
      </w:r>
    </w:p>
    <w:p w14:paraId="7ED27BFA" w14:textId="3499F76D" w:rsidR="00D93906" w:rsidRDefault="00D93906" w:rsidP="00AE18C4">
      <w:pPr>
        <w:spacing w:before="240"/>
      </w:pPr>
      <w:r>
        <w:t xml:space="preserve">Medicines and Healthcare </w:t>
      </w:r>
      <w:r w:rsidR="0025630D">
        <w:t>P</w:t>
      </w:r>
      <w:r>
        <w:t>roducts Regulatory Agency. (20</w:t>
      </w:r>
      <w:r w:rsidR="7E889934">
        <w:t>25</w:t>
      </w:r>
      <w:r>
        <w:t xml:space="preserve">). </w:t>
      </w:r>
      <w:r w:rsidRPr="5F912627">
        <w:rPr>
          <w:i/>
          <w:iCs/>
        </w:rPr>
        <w:t xml:space="preserve">Yellow Card Scheme. </w:t>
      </w:r>
      <w:r>
        <w:t xml:space="preserve">Available: </w:t>
      </w:r>
      <w:hyperlink r:id="rId25">
        <w:r w:rsidRPr="5F912627">
          <w:rPr>
            <w:color w:val="0563C1"/>
            <w:u w:val="single"/>
          </w:rPr>
          <w:t>https://yellowcard.mhra.gov.uk</w:t>
        </w:r>
      </w:hyperlink>
      <w:hyperlink r:id="rId26">
        <w:r w:rsidRPr="5F912627">
          <w:rPr>
            <w:color w:val="0563C1"/>
            <w:u w:val="single"/>
          </w:rPr>
          <w:t>/</w:t>
        </w:r>
      </w:hyperlink>
      <w:r>
        <w:t xml:space="preserve">  </w:t>
      </w:r>
      <w:r w:rsidR="4BDCCA68">
        <w:t>(las</w:t>
      </w:r>
      <w:r w:rsidR="45B49A5A">
        <w:t>t</w:t>
      </w:r>
      <w:r w:rsidR="4BDCCA68">
        <w:t xml:space="preserve"> accessed </w:t>
      </w:r>
      <w:r w:rsidR="00985FB1">
        <w:t>03/07</w:t>
      </w:r>
      <w:r w:rsidR="4BDCCA68">
        <w:t>/2025)</w:t>
      </w:r>
    </w:p>
    <w:p w14:paraId="6BEB2785" w14:textId="2CC6F7A6" w:rsidR="00D93906" w:rsidRDefault="00D93906" w:rsidP="00AE18C4">
      <w:pPr>
        <w:spacing w:before="240"/>
      </w:pPr>
      <w:r>
        <w:t xml:space="preserve">National Patient Safety Agency. (2007). </w:t>
      </w:r>
      <w:r w:rsidRPr="5F912627">
        <w:rPr>
          <w:i/>
          <w:iCs/>
        </w:rPr>
        <w:t>Patient safety alert 20: Promoting safer use of injectable medicines.</w:t>
      </w:r>
      <w:r>
        <w:t xml:space="preserve"> Available at: [ARCHIVED CONTENT] Promoting safer use of injectable medicines (nationalarchives.gov.je) (last accessed 12/08/2</w:t>
      </w:r>
      <w:r w:rsidR="00985FB1">
        <w:t>5</w:t>
      </w:r>
      <w:r>
        <w:t>)</w:t>
      </w:r>
    </w:p>
    <w:p w14:paraId="76AB3788" w14:textId="01BB8BB9" w:rsidR="00D93906" w:rsidRPr="00AE18C4" w:rsidRDefault="00D93906" w:rsidP="00AE18C4">
      <w:pPr>
        <w:spacing w:before="240"/>
        <w:rPr>
          <w:color w:val="0563C1" w:themeColor="hyperlink"/>
          <w:u w:val="single"/>
        </w:rPr>
      </w:pPr>
      <w:r>
        <w:t>Nursing and Midwifery Council (</w:t>
      </w:r>
      <w:r w:rsidR="00657731">
        <w:t>2024</w:t>
      </w:r>
      <w:r>
        <w:t xml:space="preserve">) </w:t>
      </w:r>
      <w:r w:rsidRPr="5F912627">
        <w:rPr>
          <w:i/>
          <w:iCs/>
        </w:rPr>
        <w:t xml:space="preserve">Future Nurse: Standards of proficiency for registered nurses. </w:t>
      </w:r>
      <w:r>
        <w:t>Available at</w:t>
      </w:r>
      <w:r w:rsidRPr="5F912627">
        <w:rPr>
          <w:i/>
          <w:iCs/>
        </w:rPr>
        <w:t xml:space="preserve">: </w:t>
      </w:r>
      <w:r>
        <w:t xml:space="preserve"> </w:t>
      </w:r>
      <w:hyperlink r:id="rId27">
        <w:r w:rsidRPr="5F912627">
          <w:rPr>
            <w:rStyle w:val="Hyperlink"/>
          </w:rPr>
          <w:t>Standards of proficiency for registered nurses - The Nursing and Midwifery Council (nmc.org.uk)</w:t>
        </w:r>
      </w:hyperlink>
      <w:r w:rsidRPr="5F912627">
        <w:rPr>
          <w:rStyle w:val="Hyperlink"/>
        </w:rPr>
        <w:t xml:space="preserve"> </w:t>
      </w:r>
      <w:r w:rsidRPr="004F4E45">
        <w:t xml:space="preserve"> (Last accessed 12/08/24)</w:t>
      </w:r>
    </w:p>
    <w:p w14:paraId="217E5112" w14:textId="5F9B28DF" w:rsidR="00D93906" w:rsidRDefault="00D93906" w:rsidP="00AE18C4">
      <w:pPr>
        <w:spacing w:before="240"/>
      </w:pPr>
      <w:r>
        <w:t xml:space="preserve">Nursing and Midwifery Council. (2018). </w:t>
      </w:r>
      <w:r w:rsidRPr="5F912627">
        <w:rPr>
          <w:i/>
          <w:iCs/>
        </w:rPr>
        <w:t xml:space="preserve">The Code: Professional standards of practice and </w:t>
      </w:r>
      <w:proofErr w:type="spellStart"/>
      <w:r w:rsidRPr="5F912627">
        <w:rPr>
          <w:i/>
          <w:iCs/>
        </w:rPr>
        <w:t>behaviour</w:t>
      </w:r>
      <w:proofErr w:type="spellEnd"/>
      <w:r w:rsidRPr="5F912627">
        <w:rPr>
          <w:i/>
          <w:iCs/>
        </w:rPr>
        <w:t xml:space="preserve"> for nurses, midwives and nursing associates.</w:t>
      </w:r>
      <w:r>
        <w:t xml:space="preserve"> Available: </w:t>
      </w:r>
      <w:hyperlink r:id="rId28">
        <w:r w:rsidRPr="5F912627">
          <w:rPr>
            <w:color w:val="0563C1"/>
            <w:u w:val="single"/>
          </w:rPr>
          <w:t>https://www.nmc.org.uk/standards/code</w:t>
        </w:r>
      </w:hyperlink>
      <w:hyperlink r:id="rId29">
        <w:r w:rsidRPr="5F912627">
          <w:rPr>
            <w:color w:val="0563C1"/>
            <w:u w:val="single"/>
          </w:rPr>
          <w:t>/</w:t>
        </w:r>
      </w:hyperlink>
      <w:hyperlink r:id="rId30">
        <w:r>
          <w:t xml:space="preserve">  </w:t>
        </w:r>
      </w:hyperlink>
      <w:r>
        <w:t xml:space="preserve"> </w:t>
      </w:r>
      <w:r w:rsidR="00985FB1">
        <w:t>(last accessed 03/07/25)</w:t>
      </w:r>
    </w:p>
    <w:p w14:paraId="3A759C11" w14:textId="6F04770E" w:rsidR="00D93906" w:rsidRDefault="00D93906" w:rsidP="00AE18C4">
      <w:pPr>
        <w:spacing w:before="240"/>
      </w:pPr>
      <w:r>
        <w:t>Royal College of Nursing. (2016</w:t>
      </w:r>
      <w:r w:rsidR="004F4E45">
        <w:t xml:space="preserve"> (under review)</w:t>
      </w:r>
      <w:r>
        <w:t xml:space="preserve">). </w:t>
      </w:r>
      <w:r>
        <w:rPr>
          <w:i/>
        </w:rPr>
        <w:t>Standards for Infusion Therapy 4th edition.</w:t>
      </w:r>
      <w:r>
        <w:t xml:space="preserve"> Available: </w:t>
      </w:r>
      <w:hyperlink r:id="rId31">
        <w:r>
          <w:rPr>
            <w:color w:val="0563C1"/>
            <w:u w:val="single" w:color="0563C1"/>
          </w:rPr>
          <w:t>https://www.rcn.org.uk/professiona</w:t>
        </w:r>
      </w:hyperlink>
      <w:hyperlink r:id="rId32">
        <w:r>
          <w:rPr>
            <w:color w:val="0563C1"/>
            <w:u w:val="single" w:color="0563C1"/>
          </w:rPr>
          <w:t>l</w:t>
        </w:r>
      </w:hyperlink>
      <w:hyperlink r:id="rId33">
        <w:r>
          <w:rPr>
            <w:color w:val="0563C1"/>
            <w:u w:val="single" w:color="0563C1"/>
          </w:rPr>
          <w:t>-development/publications/pu</w:t>
        </w:r>
      </w:hyperlink>
      <w:hyperlink r:id="rId34">
        <w:r>
          <w:rPr>
            <w:color w:val="0563C1"/>
            <w:u w:val="single" w:color="0563C1"/>
          </w:rPr>
          <w:t>b00570</w:t>
        </w:r>
      </w:hyperlink>
      <w:hyperlink r:id="rId35">
        <w:r>
          <w:rPr>
            <w:color w:val="0563C1"/>
            <w:u w:val="single" w:color="0563C1"/>
          </w:rPr>
          <w:t>4</w:t>
        </w:r>
      </w:hyperlink>
      <w:hyperlink r:id="rId36">
        <w:r>
          <w:t xml:space="preserve">  </w:t>
        </w:r>
      </w:hyperlink>
      <w:r>
        <w:t xml:space="preserve"> (last accessed 12/08/2</w:t>
      </w:r>
      <w:r w:rsidR="00985FB1">
        <w:t>5</w:t>
      </w:r>
      <w:r>
        <w:t>)</w:t>
      </w:r>
    </w:p>
    <w:p w14:paraId="3588A433" w14:textId="46B0902C" w:rsidR="00D93906" w:rsidRDefault="00D93906" w:rsidP="00AE18C4">
      <w:pPr>
        <w:spacing w:before="240"/>
      </w:pPr>
      <w:r>
        <w:t xml:space="preserve">Royal Pharmaceutical Society and Royal College of Nursing. (2019). </w:t>
      </w:r>
      <w:r>
        <w:rPr>
          <w:i/>
        </w:rPr>
        <w:t>Professional Guidance on the Administration of Medicines in Healthcare Settings.</w:t>
      </w:r>
      <w:r>
        <w:t xml:space="preserve"> Available: </w:t>
      </w:r>
      <w:hyperlink r:id="rId37">
        <w:r>
          <w:rPr>
            <w:color w:val="0563C1"/>
            <w:u w:val="single" w:color="0563C1"/>
          </w:rPr>
          <w:t>https://www.rpharms.com/Portals/0/RPS%20document%20library/Open%20access/</w:t>
        </w:r>
      </w:hyperlink>
      <w:hyperlink r:id="rId38">
        <w:r>
          <w:rPr>
            <w:color w:val="0563C1"/>
          </w:rPr>
          <w:t xml:space="preserve"> </w:t>
        </w:r>
      </w:hyperlink>
      <w:hyperlink r:id="rId39">
        <w:r>
          <w:rPr>
            <w:color w:val="0563C1"/>
            <w:u w:val="single" w:color="0563C1"/>
          </w:rPr>
          <w:t>Professional%20standards/SSHM%20and%20Admin/Admin%20of%20Meds%20pro</w:t>
        </w:r>
      </w:hyperlink>
      <w:hyperlink r:id="rId40">
        <w:r>
          <w:rPr>
            <w:color w:val="0563C1"/>
          </w:rPr>
          <w:t xml:space="preserve"> </w:t>
        </w:r>
      </w:hyperlink>
      <w:hyperlink r:id="rId41">
        <w:r>
          <w:rPr>
            <w:color w:val="0563C1"/>
            <w:u w:val="single" w:color="0563C1"/>
          </w:rPr>
          <w:t>f%20guidance.pdf?ver=201</w:t>
        </w:r>
      </w:hyperlink>
      <w:hyperlink r:id="rId42">
        <w:r>
          <w:rPr>
            <w:color w:val="0563C1"/>
            <w:u w:val="single" w:color="0563C1"/>
          </w:rPr>
          <w:t>9</w:t>
        </w:r>
      </w:hyperlink>
      <w:hyperlink r:id="rId43">
        <w:r>
          <w:rPr>
            <w:color w:val="0563C1"/>
            <w:u w:val="single" w:color="0563C1"/>
          </w:rPr>
          <w:t>-0</w:t>
        </w:r>
      </w:hyperlink>
      <w:hyperlink r:id="rId44">
        <w:r>
          <w:rPr>
            <w:color w:val="0563C1"/>
            <w:u w:val="single" w:color="0563C1"/>
          </w:rPr>
          <w:t>1</w:t>
        </w:r>
      </w:hyperlink>
      <w:hyperlink r:id="rId45">
        <w:r>
          <w:rPr>
            <w:color w:val="0563C1"/>
            <w:u w:val="single" w:color="0563C1"/>
          </w:rPr>
          <w:t>-2</w:t>
        </w:r>
      </w:hyperlink>
      <w:hyperlink r:id="rId46">
        <w:r>
          <w:rPr>
            <w:color w:val="0563C1"/>
            <w:u w:val="single" w:color="0563C1"/>
          </w:rPr>
          <w:t>3</w:t>
        </w:r>
      </w:hyperlink>
      <w:hyperlink r:id="rId47">
        <w:r>
          <w:rPr>
            <w:color w:val="0563C1"/>
            <w:u w:val="single" w:color="0563C1"/>
          </w:rPr>
          <w:t>-14502</w:t>
        </w:r>
      </w:hyperlink>
      <w:hyperlink r:id="rId48">
        <w:r>
          <w:rPr>
            <w:color w:val="0563C1"/>
            <w:u w:val="single" w:color="0563C1"/>
          </w:rPr>
          <w:t>6</w:t>
        </w:r>
      </w:hyperlink>
      <w:hyperlink r:id="rId49">
        <w:r>
          <w:rPr>
            <w:color w:val="0563C1"/>
            <w:u w:val="single" w:color="0563C1"/>
          </w:rPr>
          <w:t>-56</w:t>
        </w:r>
      </w:hyperlink>
      <w:hyperlink r:id="rId50">
        <w:r>
          <w:rPr>
            <w:color w:val="0563C1"/>
            <w:u w:val="single" w:color="0563C1"/>
          </w:rPr>
          <w:t>7</w:t>
        </w:r>
      </w:hyperlink>
      <w:hyperlink r:id="rId51">
        <w:r>
          <w:t xml:space="preserve">  </w:t>
        </w:r>
      </w:hyperlink>
      <w:r>
        <w:t xml:space="preserve"> (last accessed 12/08/2</w:t>
      </w:r>
      <w:r w:rsidR="00985FB1">
        <w:t>5</w:t>
      </w:r>
      <w:r>
        <w:t>)</w:t>
      </w:r>
    </w:p>
    <w:p w14:paraId="7A4877A2" w14:textId="77777777" w:rsidR="00233DA9" w:rsidRPr="00233DA9" w:rsidRDefault="00233DA9" w:rsidP="00F97AD3">
      <w:pPr>
        <w:rPr>
          <w:rFonts w:cs="Arial"/>
        </w:rPr>
      </w:pPr>
    </w:p>
    <w:p w14:paraId="34767643" w14:textId="77777777" w:rsidR="00DA3FE7" w:rsidRDefault="00DA3FE7" w:rsidP="007B2215">
      <w:pPr>
        <w:pStyle w:val="ListParagraph"/>
        <w:tabs>
          <w:tab w:val="left" w:pos="284"/>
        </w:tabs>
        <w:ind w:left="-66"/>
        <w:rPr>
          <w:rFonts w:cs="Arial"/>
          <w:b/>
        </w:rPr>
        <w:sectPr w:rsidR="00DA3FE7" w:rsidSect="00856DE7">
          <w:pgSz w:w="11906" w:h="16838"/>
          <w:pgMar w:top="1440" w:right="1440" w:bottom="1440" w:left="1440" w:header="708" w:footer="220" w:gutter="0"/>
          <w:cols w:space="708"/>
          <w:titlePg/>
          <w:docGrid w:linePitch="360"/>
        </w:sectPr>
      </w:pPr>
    </w:p>
    <w:p w14:paraId="04411FB8" w14:textId="77777777" w:rsidR="0085498A" w:rsidRPr="00856DE7" w:rsidRDefault="00824956" w:rsidP="00A50DC5">
      <w:pPr>
        <w:pStyle w:val="Heading1"/>
        <w:ind w:hanging="530"/>
      </w:pPr>
      <w:bookmarkStart w:id="34" w:name="_Toc202452463"/>
      <w:r w:rsidRPr="00856DE7">
        <w:lastRenderedPageBreak/>
        <w:t>APPENDI</w:t>
      </w:r>
      <w:r w:rsidR="00502E62">
        <w:t>CES</w:t>
      </w:r>
      <w:bookmarkEnd w:id="34"/>
    </w:p>
    <w:p w14:paraId="2AF26F34" w14:textId="108BB5F1" w:rsidR="00DA3FE7" w:rsidRDefault="00D157E9" w:rsidP="005C0A0B">
      <w:pPr>
        <w:pStyle w:val="Heading2"/>
      </w:pPr>
      <w:bookmarkStart w:id="35" w:name="_Appendix_1_Phlebitis"/>
      <w:bookmarkStart w:id="36" w:name="_Toc202452464"/>
      <w:bookmarkEnd w:id="35"/>
      <w:r w:rsidRPr="005C0A0B">
        <w:t>A</w:t>
      </w:r>
      <w:r w:rsidR="00EF08CB" w:rsidRPr="005C0A0B">
        <w:t>ppendix</w:t>
      </w:r>
      <w:r w:rsidR="00EF08CB" w:rsidRPr="00856DE7">
        <w:t xml:space="preserve"> </w:t>
      </w:r>
      <w:r w:rsidR="00DA3FE7">
        <w:t>1</w:t>
      </w:r>
      <w:r w:rsidR="00BA4CCC">
        <w:t xml:space="preserve"> Phlebitis Score</w:t>
      </w:r>
      <w:bookmarkEnd w:id="36"/>
    </w:p>
    <w:p w14:paraId="5455159D" w14:textId="77777777" w:rsidR="00620818" w:rsidRDefault="00620818" w:rsidP="00620818">
      <w:pPr>
        <w:pStyle w:val="NormalWeb"/>
      </w:pPr>
      <w:r>
        <w:rPr>
          <w:noProof/>
        </w:rPr>
        <w:drawing>
          <wp:inline distT="0" distB="0" distL="0" distR="0" wp14:anchorId="5F2B16BD" wp14:editId="4AFE2800">
            <wp:extent cx="5219700" cy="7486650"/>
            <wp:effectExtent l="0" t="0" r="0" b="0"/>
            <wp:docPr id="914367001" name="Picture 914367001" descr="A poster with text and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367001" name="Picture 914367001" descr="A poster with text and arrows&#10;&#10;Description automatically generated with medium confidenc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19700" cy="7486650"/>
                    </a:xfrm>
                    <a:prstGeom prst="rect">
                      <a:avLst/>
                    </a:prstGeom>
                    <a:noFill/>
                    <a:ln>
                      <a:noFill/>
                    </a:ln>
                  </pic:spPr>
                </pic:pic>
              </a:graphicData>
            </a:graphic>
          </wp:inline>
        </w:drawing>
      </w:r>
    </w:p>
    <w:p w14:paraId="0F8CDCCF" w14:textId="77777777" w:rsidR="00135FC7" w:rsidRDefault="00135FC7" w:rsidP="00135FC7"/>
    <w:p w14:paraId="419B4F79" w14:textId="5ACF976C" w:rsidR="0085498A" w:rsidRDefault="00EF08CB" w:rsidP="00170E7C">
      <w:pPr>
        <w:pStyle w:val="Heading2"/>
      </w:pPr>
      <w:bookmarkStart w:id="37" w:name="_Appendix_2_Injection"/>
      <w:bookmarkStart w:id="38" w:name="_Toc202452465"/>
      <w:bookmarkEnd w:id="37"/>
      <w:r w:rsidRPr="00856DE7">
        <w:lastRenderedPageBreak/>
        <w:t xml:space="preserve">Appendix </w:t>
      </w:r>
      <w:r w:rsidR="00DA3FE7">
        <w:t>2</w:t>
      </w:r>
      <w:r w:rsidR="003030F3">
        <w:t xml:space="preserve"> </w:t>
      </w:r>
      <w:r w:rsidR="003030F3" w:rsidRPr="00170E7C">
        <w:t>Injection</w:t>
      </w:r>
      <w:r w:rsidR="003030F3">
        <w:t xml:space="preserve"> Sites for IM and Subcutaneous</w:t>
      </w:r>
      <w:bookmarkEnd w:id="38"/>
    </w:p>
    <w:p w14:paraId="3906165D" w14:textId="77777777" w:rsidR="003030F3" w:rsidRDefault="003030F3" w:rsidP="003030F3">
      <w:pPr>
        <w:spacing w:line="346" w:lineRule="auto"/>
        <w:ind w:left="72" w:right="1432"/>
        <w:jc w:val="left"/>
      </w:pPr>
      <w:r>
        <w:rPr>
          <w:b/>
        </w:rPr>
        <w:t xml:space="preserve">Intramuscular Injection (IM) </w:t>
      </w:r>
      <w:r>
        <w:t xml:space="preserve"> </w:t>
      </w:r>
    </w:p>
    <w:p w14:paraId="3994D1BE" w14:textId="77777777" w:rsidR="003030F3" w:rsidRDefault="003030F3" w:rsidP="003030F3">
      <w:pPr>
        <w:spacing w:line="259" w:lineRule="auto"/>
        <w:ind w:right="4513"/>
        <w:jc w:val="center"/>
      </w:pPr>
      <w:r>
        <w:rPr>
          <w:noProof/>
        </w:rPr>
        <w:drawing>
          <wp:inline distT="0" distB="0" distL="0" distR="0" wp14:anchorId="5348B3F7" wp14:editId="4057A88D">
            <wp:extent cx="2286000" cy="1651000"/>
            <wp:effectExtent l="0" t="0" r="0" b="0"/>
            <wp:docPr id="2436" name="Picture 2436" descr="A diagram of a person's body&#10;&#10;Description automatically generated"/>
            <wp:cNvGraphicFramePr/>
            <a:graphic xmlns:a="http://schemas.openxmlformats.org/drawingml/2006/main">
              <a:graphicData uri="http://schemas.openxmlformats.org/drawingml/2006/picture">
                <pic:pic xmlns:pic="http://schemas.openxmlformats.org/drawingml/2006/picture">
                  <pic:nvPicPr>
                    <pic:cNvPr id="2436" name="Picture 2436" descr="A diagram of a person's body&#10;&#10;Description automatically generated"/>
                    <pic:cNvPicPr/>
                  </pic:nvPicPr>
                  <pic:blipFill>
                    <a:blip r:embed="rId53"/>
                    <a:stretch>
                      <a:fillRect/>
                    </a:stretch>
                  </pic:blipFill>
                  <pic:spPr>
                    <a:xfrm>
                      <a:off x="0" y="0"/>
                      <a:ext cx="2286000" cy="1651000"/>
                    </a:xfrm>
                    <a:prstGeom prst="rect">
                      <a:avLst/>
                    </a:prstGeom>
                  </pic:spPr>
                </pic:pic>
              </a:graphicData>
            </a:graphic>
          </wp:inline>
        </w:drawing>
      </w:r>
      <w:r>
        <w:t xml:space="preserve">  </w:t>
      </w:r>
    </w:p>
    <w:p w14:paraId="1D3F30CE" w14:textId="77777777" w:rsidR="003030F3" w:rsidRDefault="003030F3" w:rsidP="003030F3">
      <w:pPr>
        <w:ind w:left="67" w:right="8"/>
      </w:pPr>
      <w:r>
        <w:t xml:space="preserve">Adapted from Clinical Skills.net  </w:t>
      </w:r>
    </w:p>
    <w:p w14:paraId="1C400CF4" w14:textId="77777777" w:rsidR="003030F3" w:rsidRDefault="003030F3" w:rsidP="003030F3">
      <w:pPr>
        <w:ind w:left="67" w:right="8"/>
      </w:pPr>
      <w:r>
        <w:t xml:space="preserve">The four sites commonly used for intramuscular </w:t>
      </w:r>
      <w:proofErr w:type="gramStart"/>
      <w:r>
        <w:t>injection</w:t>
      </w:r>
      <w:proofErr w:type="gramEnd"/>
      <w:r>
        <w:t xml:space="preserve"> are the deltoid muscle, the ventrogluteal muscle, the vastus lateralis muscle and the </w:t>
      </w:r>
      <w:proofErr w:type="spellStart"/>
      <w:r>
        <w:t>dorsogluteal</w:t>
      </w:r>
      <w:proofErr w:type="spellEnd"/>
      <w:r>
        <w:t xml:space="preserve"> muscle. The registered nurse should use their clinical judgement, incorporating evidence-based practice, to select an appropriate site and should consider inherent risks, e.g., sciatic nerve damage is a </w:t>
      </w:r>
      <w:proofErr w:type="spellStart"/>
      <w:r>
        <w:t>recognised</w:t>
      </w:r>
      <w:proofErr w:type="spellEnd"/>
      <w:r>
        <w:t xml:space="preserve"> complication of IM injection at the </w:t>
      </w:r>
      <w:proofErr w:type="spellStart"/>
      <w:r>
        <w:t>dorsogluteal</w:t>
      </w:r>
      <w:proofErr w:type="spellEnd"/>
      <w:r>
        <w:t xml:space="preserve"> site (Shepherd, 2018; Greenway, 2014).  </w:t>
      </w:r>
    </w:p>
    <w:p w14:paraId="603DB65E" w14:textId="77777777" w:rsidR="003030F3" w:rsidRDefault="003030F3" w:rsidP="003030F3">
      <w:pPr>
        <w:spacing w:after="56"/>
        <w:ind w:left="67" w:right="8"/>
      </w:pPr>
      <w:r>
        <w:t xml:space="preserve">The viscosity of the medication, the volume of medication to be injected and the amount of subcutaneous tissue at the injection site will all influence site selection.  </w:t>
      </w:r>
    </w:p>
    <w:p w14:paraId="10BBD869" w14:textId="77777777" w:rsidR="003030F3" w:rsidRDefault="003030F3" w:rsidP="003030F3">
      <w:pPr>
        <w:spacing w:after="56"/>
        <w:ind w:left="67" w:right="8"/>
      </w:pPr>
      <w:r>
        <w:rPr>
          <w:b/>
        </w:rPr>
        <w:t xml:space="preserve">Subcutaneous Injection </w:t>
      </w:r>
      <w:r>
        <w:t xml:space="preserve"> </w:t>
      </w:r>
    </w:p>
    <w:p w14:paraId="1169F5C9" w14:textId="77777777" w:rsidR="003030F3" w:rsidRDefault="003030F3" w:rsidP="003030F3">
      <w:pPr>
        <w:spacing w:line="259" w:lineRule="auto"/>
        <w:ind w:left="374"/>
        <w:jc w:val="left"/>
      </w:pPr>
      <w:r>
        <w:rPr>
          <w:noProof/>
        </w:rPr>
        <w:drawing>
          <wp:inline distT="0" distB="0" distL="0" distR="0" wp14:anchorId="00F05638" wp14:editId="7DEA0F1F">
            <wp:extent cx="2120900" cy="1574800"/>
            <wp:effectExtent l="0" t="0" r="0" b="0"/>
            <wp:docPr id="2438" name="Picture 2438" descr="A person with a subcutaneous injection&#10;&#10;Description automatically generated"/>
            <wp:cNvGraphicFramePr/>
            <a:graphic xmlns:a="http://schemas.openxmlformats.org/drawingml/2006/main">
              <a:graphicData uri="http://schemas.openxmlformats.org/drawingml/2006/picture">
                <pic:pic xmlns:pic="http://schemas.openxmlformats.org/drawingml/2006/picture">
                  <pic:nvPicPr>
                    <pic:cNvPr id="2438" name="Picture 2438" descr="A person with a subcutaneous injection&#10;&#10;Description automatically generated"/>
                    <pic:cNvPicPr/>
                  </pic:nvPicPr>
                  <pic:blipFill>
                    <a:blip r:embed="rId54"/>
                    <a:stretch>
                      <a:fillRect/>
                    </a:stretch>
                  </pic:blipFill>
                  <pic:spPr>
                    <a:xfrm>
                      <a:off x="0" y="0"/>
                      <a:ext cx="2120900" cy="1574800"/>
                    </a:xfrm>
                    <a:prstGeom prst="rect">
                      <a:avLst/>
                    </a:prstGeom>
                  </pic:spPr>
                </pic:pic>
              </a:graphicData>
            </a:graphic>
          </wp:inline>
        </w:drawing>
      </w:r>
      <w:r>
        <w:rPr>
          <w:b/>
        </w:rPr>
        <w:t xml:space="preserve"> </w:t>
      </w:r>
      <w:r>
        <w:t xml:space="preserve"> </w:t>
      </w:r>
    </w:p>
    <w:p w14:paraId="2906D7FE" w14:textId="6CF7AEF7" w:rsidR="003030F3" w:rsidRDefault="003030F3" w:rsidP="003030F3">
      <w:pPr>
        <w:ind w:left="384" w:right="8"/>
      </w:pPr>
      <w:r>
        <w:t>Adapted from Clinical Skills.ne</w:t>
      </w:r>
    </w:p>
    <w:p w14:paraId="0698F90E" w14:textId="638C1C56" w:rsidR="003030F3" w:rsidRDefault="003030F3" w:rsidP="003030F3">
      <w:pPr>
        <w:ind w:left="67" w:right="8"/>
      </w:pPr>
      <w:r>
        <w:t xml:space="preserve">Appropriate sites for subcutaneous injections are the deltoid areas of both arms, the abdomen and thighs. The information leaflet accompanying the medicine being administered will also indicate the appropriate site to administer the injection.  Skin decontamination is not advised when administering medication via the subcutaneous route because alcohol causes the skin to </w:t>
      </w:r>
      <w:r w:rsidR="005C5F6E">
        <w:t>harden,</w:t>
      </w:r>
      <w:r>
        <w:t xml:space="preserve"> and this hardening interferes with absorption of the medication (NICE, 2016).  </w:t>
      </w:r>
    </w:p>
    <w:p w14:paraId="041A6140" w14:textId="6D87BD89" w:rsidR="003030F3" w:rsidRDefault="003030F3" w:rsidP="00D25D2D">
      <w:pPr>
        <w:spacing w:after="28"/>
        <w:ind w:left="67" w:right="8"/>
      </w:pPr>
      <w:r>
        <w:t xml:space="preserve">Please refer to Clinical Skills.net or the Royal Marsden online manual for further guidance and </w:t>
      </w:r>
      <w:proofErr w:type="gramStart"/>
      <w:r>
        <w:t>step by step</w:t>
      </w:r>
      <w:proofErr w:type="gramEnd"/>
      <w:r>
        <w:t xml:space="preserve"> advice in performing the above procedures.  </w:t>
      </w:r>
      <w:r>
        <w:rPr>
          <w:rFonts w:ascii="Times New Roman" w:hAnsi="Times New Roman"/>
        </w:rPr>
        <w:t xml:space="preserve"> </w:t>
      </w:r>
      <w:r>
        <w:t xml:space="preserve"> </w:t>
      </w:r>
    </w:p>
    <w:p w14:paraId="006CD8E9" w14:textId="339C3534" w:rsidR="003030F3" w:rsidRPr="003030F3" w:rsidRDefault="003030F3" w:rsidP="004F4E45">
      <w:pPr>
        <w:spacing w:line="259" w:lineRule="auto"/>
        <w:ind w:left="14"/>
        <w:jc w:val="left"/>
      </w:pPr>
    </w:p>
    <w:sectPr w:rsidR="003030F3" w:rsidRPr="003030F3" w:rsidSect="00856DE7">
      <w:pgSz w:w="11906" w:h="16838"/>
      <w:pgMar w:top="1440" w:right="1440" w:bottom="1440" w:left="1440" w:header="708" w:footer="2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2AEAF" w14:textId="77777777" w:rsidR="0058688C" w:rsidRDefault="0058688C" w:rsidP="0085498A">
      <w:r>
        <w:separator/>
      </w:r>
    </w:p>
  </w:endnote>
  <w:endnote w:type="continuationSeparator" w:id="0">
    <w:p w14:paraId="4A6FD8D9" w14:textId="77777777" w:rsidR="0058688C" w:rsidRDefault="0058688C" w:rsidP="0085498A">
      <w:r>
        <w:continuationSeparator/>
      </w:r>
    </w:p>
  </w:endnote>
  <w:endnote w:type="continuationNotice" w:id="1">
    <w:p w14:paraId="63A1CD5C" w14:textId="77777777" w:rsidR="0058688C" w:rsidRDefault="0058688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6"/>
        <w:szCs w:val="16"/>
      </w:rPr>
      <w:id w:val="1889914443"/>
      <w:docPartObj>
        <w:docPartGallery w:val="Page Numbers (Bottom of Page)"/>
        <w:docPartUnique/>
      </w:docPartObj>
    </w:sdtPr>
    <w:sdtEndPr/>
    <w:sdtContent>
      <w:sdt>
        <w:sdtPr>
          <w:rPr>
            <w:rFonts w:cs="Arial"/>
            <w:sz w:val="16"/>
            <w:szCs w:val="16"/>
          </w:rPr>
          <w:id w:val="2009553535"/>
          <w:docPartObj>
            <w:docPartGallery w:val="Page Numbers (Top of Page)"/>
            <w:docPartUnique/>
          </w:docPartObj>
        </w:sdtPr>
        <w:sdtEndPr/>
        <w:sdtContent>
          <w:p w14:paraId="0B1FE300" w14:textId="77777777" w:rsidR="0045217F" w:rsidRPr="0048177D" w:rsidRDefault="0045217F" w:rsidP="0045217F">
            <w:pPr>
              <w:pStyle w:val="Footer"/>
              <w:jc w:val="center"/>
              <w:rPr>
                <w:rFonts w:cs="Arial"/>
                <w:sz w:val="16"/>
                <w:szCs w:val="16"/>
              </w:rPr>
            </w:pPr>
            <w:r w:rsidRPr="0048177D">
              <w:rPr>
                <w:rFonts w:cs="Arial"/>
                <w:sz w:val="16"/>
                <w:szCs w:val="16"/>
              </w:rPr>
              <w:t>FNHC</w:t>
            </w:r>
          </w:p>
          <w:p w14:paraId="615424C8" w14:textId="14A120A2" w:rsidR="0045217F" w:rsidRPr="0045217F" w:rsidRDefault="0045217F" w:rsidP="0045217F">
            <w:pPr>
              <w:pStyle w:val="Footer"/>
              <w:jc w:val="center"/>
              <w:rPr>
                <w:rFonts w:cs="Arial"/>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DE0B38">
              <w:rPr>
                <w:rFonts w:cs="Arial"/>
                <w:b/>
                <w:bCs/>
                <w:noProof/>
                <w:sz w:val="16"/>
                <w:szCs w:val="16"/>
              </w:rPr>
              <w:t>3</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DE0B38">
              <w:rPr>
                <w:rFonts w:cs="Arial"/>
                <w:b/>
                <w:bCs/>
                <w:noProof/>
                <w:sz w:val="16"/>
                <w:szCs w:val="16"/>
              </w:rPr>
              <w:t>11</w:t>
            </w:r>
            <w:r w:rsidRPr="0048177D">
              <w:rPr>
                <w:rFonts w:cs="Arial"/>
                <w:b/>
                <w:bCs/>
                <w:sz w:val="16"/>
                <w:szCs w:val="16"/>
              </w:rPr>
              <w:fldChar w:fldCharType="end"/>
            </w:r>
          </w:p>
        </w:sdtContent>
      </w:sdt>
    </w:sdtContent>
  </w:sdt>
  <w:p w14:paraId="7413E5D1" w14:textId="77777777" w:rsidR="0045217F" w:rsidRDefault="00452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907957"/>
      <w:docPartObj>
        <w:docPartGallery w:val="Page Numbers (Bottom of Page)"/>
        <w:docPartUnique/>
      </w:docPartObj>
    </w:sdtPr>
    <w:sdtEndPr>
      <w:rPr>
        <w:noProof/>
      </w:rPr>
    </w:sdtEndPr>
    <w:sdtContent>
      <w:p w14:paraId="104F6CF4" w14:textId="1B772F82" w:rsidR="00796620" w:rsidRDefault="00796620">
        <w:pPr>
          <w:pStyle w:val="Footer"/>
          <w:jc w:val="center"/>
        </w:pPr>
        <w:r>
          <w:fldChar w:fldCharType="begin"/>
        </w:r>
        <w:r>
          <w:instrText xml:space="preserve"> PAGE   \* MERGEFORMAT </w:instrText>
        </w:r>
        <w:r>
          <w:fldChar w:fldCharType="separate"/>
        </w:r>
        <w:r w:rsidR="00DE0B38">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79EA8" w14:textId="77777777" w:rsidR="0058688C" w:rsidRDefault="0058688C" w:rsidP="0085498A">
      <w:r>
        <w:separator/>
      </w:r>
    </w:p>
  </w:footnote>
  <w:footnote w:type="continuationSeparator" w:id="0">
    <w:p w14:paraId="78D4FA1F" w14:textId="77777777" w:rsidR="0058688C" w:rsidRDefault="0058688C" w:rsidP="0085498A">
      <w:r>
        <w:continuationSeparator/>
      </w:r>
    </w:p>
  </w:footnote>
  <w:footnote w:type="continuationNotice" w:id="1">
    <w:p w14:paraId="2D0A0D6F" w14:textId="77777777" w:rsidR="0058688C" w:rsidRDefault="0058688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D537" w14:textId="77777777" w:rsidR="0048177D" w:rsidRDefault="00856DE7">
    <w:pPr>
      <w:pStyle w:val="Header"/>
    </w:pPr>
    <w:r>
      <w:rPr>
        <w:b/>
        <w:noProof/>
        <w:sz w:val="28"/>
        <w:lang w:val="en-GB" w:eastAsia="en-GB"/>
      </w:rPr>
      <w:drawing>
        <wp:anchor distT="0" distB="0" distL="114300" distR="114300" simplePos="0" relativeHeight="251658240" behindDoc="1" locked="0" layoutInCell="1" allowOverlap="1" wp14:anchorId="2D52DF50" wp14:editId="5F4DDE78">
          <wp:simplePos x="0" y="0"/>
          <wp:positionH relativeFrom="column">
            <wp:posOffset>4743450</wp:posOffset>
          </wp:positionH>
          <wp:positionV relativeFrom="paragraph">
            <wp:posOffset>-172085</wp:posOffset>
          </wp:positionV>
          <wp:extent cx="1166495" cy="509905"/>
          <wp:effectExtent l="0" t="0" r="0" b="4445"/>
          <wp:wrapTight wrapText="bothSides">
            <wp:wrapPolygon edited="0">
              <wp:start x="0" y="0"/>
              <wp:lineTo x="0" y="20981"/>
              <wp:lineTo x="21165" y="20981"/>
              <wp:lineTo x="21165" y="0"/>
              <wp:lineTo x="0" y="0"/>
            </wp:wrapPolygon>
          </wp:wrapTight>
          <wp:docPr id="12" name="Picture 1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790A6" w14:textId="77777777" w:rsidR="00856DE7" w:rsidRDefault="00856DE7">
    <w:pPr>
      <w:pStyle w:val="Header"/>
    </w:pPr>
    <w:r>
      <w:rPr>
        <w:b/>
        <w:noProof/>
        <w:sz w:val="28"/>
        <w:lang w:val="en-GB" w:eastAsia="en-GB"/>
      </w:rPr>
      <w:drawing>
        <wp:anchor distT="0" distB="0" distL="114300" distR="114300" simplePos="0" relativeHeight="251658241" behindDoc="1" locked="0" layoutInCell="1" allowOverlap="1" wp14:anchorId="495C9CB3" wp14:editId="00F46994">
          <wp:simplePos x="0" y="0"/>
          <wp:positionH relativeFrom="column">
            <wp:posOffset>4572000</wp:posOffset>
          </wp:positionH>
          <wp:positionV relativeFrom="paragraph">
            <wp:posOffset>-89535</wp:posOffset>
          </wp:positionV>
          <wp:extent cx="1166495" cy="509905"/>
          <wp:effectExtent l="0" t="0" r="0" b="4445"/>
          <wp:wrapTight wrapText="bothSides">
            <wp:wrapPolygon edited="0">
              <wp:start x="0" y="0"/>
              <wp:lineTo x="0" y="20981"/>
              <wp:lineTo x="21165" y="20981"/>
              <wp:lineTo x="21165" y="0"/>
              <wp:lineTo x="0" y="0"/>
            </wp:wrapPolygon>
          </wp:wrapTight>
          <wp:docPr id="3" name="Picture 3"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46E6"/>
    <w:multiLevelType w:val="multilevel"/>
    <w:tmpl w:val="2F66C6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3350D"/>
    <w:multiLevelType w:val="hybridMultilevel"/>
    <w:tmpl w:val="C834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167C6"/>
    <w:multiLevelType w:val="hybridMultilevel"/>
    <w:tmpl w:val="D610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02991"/>
    <w:multiLevelType w:val="hybridMultilevel"/>
    <w:tmpl w:val="226604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EB53EF"/>
    <w:multiLevelType w:val="multilevel"/>
    <w:tmpl w:val="0809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2244E0"/>
    <w:multiLevelType w:val="multilevel"/>
    <w:tmpl w:val="09E63D44"/>
    <w:lvl w:ilvl="0">
      <w:start w:val="2"/>
      <w:numFmt w:val="decimal"/>
      <w:lvlText w:val="%1"/>
      <w:lvlJc w:val="left"/>
      <w:pPr>
        <w:ind w:left="360" w:hanging="360"/>
      </w:pPr>
      <w:rPr>
        <w:rFonts w:hint="default"/>
      </w:rPr>
    </w:lvl>
    <w:lvl w:ilvl="1">
      <w:start w:val="1"/>
      <w:numFmt w:val="decimal"/>
      <w:lvlText w:val="%1.%2"/>
      <w:lvlJc w:val="left"/>
      <w:pPr>
        <w:ind w:left="1227" w:hanging="36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6" w15:restartNumberingAfterBreak="0">
    <w:nsid w:val="14D27DB4"/>
    <w:multiLevelType w:val="multilevel"/>
    <w:tmpl w:val="68E23388"/>
    <w:lvl w:ilvl="0">
      <w:start w:val="1"/>
      <w:numFmt w:val="decimal"/>
      <w:lvlText w:val="%1"/>
      <w:lvlJc w:val="left"/>
      <w:pPr>
        <w:ind w:left="396" w:hanging="396"/>
      </w:pPr>
      <w:rPr>
        <w:rFonts w:hint="default"/>
      </w:rPr>
    </w:lvl>
    <w:lvl w:ilvl="1">
      <w:start w:val="1"/>
      <w:numFmt w:val="decimal"/>
      <w:lvlText w:val="%1.%2"/>
      <w:lvlJc w:val="left"/>
      <w:pPr>
        <w:ind w:left="756" w:hanging="39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F24356"/>
    <w:multiLevelType w:val="hybridMultilevel"/>
    <w:tmpl w:val="691A86C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402B35"/>
    <w:multiLevelType w:val="hybridMultilevel"/>
    <w:tmpl w:val="83E6A3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B35"/>
    <w:multiLevelType w:val="hybridMultilevel"/>
    <w:tmpl w:val="DC26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A5764"/>
    <w:multiLevelType w:val="multilevel"/>
    <w:tmpl w:val="AD7AC3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C97D2C"/>
    <w:multiLevelType w:val="multilevel"/>
    <w:tmpl w:val="A94A0064"/>
    <w:lvl w:ilvl="0">
      <w:start w:val="10"/>
      <w:numFmt w:val="decimal"/>
      <w:lvlText w:val="%1"/>
      <w:lvlJc w:val="left"/>
      <w:pPr>
        <w:ind w:left="468" w:hanging="468"/>
      </w:pPr>
      <w:rPr>
        <w:rFonts w:hint="default"/>
      </w:rPr>
    </w:lvl>
    <w:lvl w:ilvl="1">
      <w:start w:val="1"/>
      <w:numFmt w:val="decimal"/>
      <w:lvlText w:val="%1.%2"/>
      <w:lvlJc w:val="left"/>
      <w:pPr>
        <w:ind w:left="1335" w:hanging="468"/>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12" w15:restartNumberingAfterBreak="0">
    <w:nsid w:val="21E742FD"/>
    <w:multiLevelType w:val="hybridMultilevel"/>
    <w:tmpl w:val="58C4F316"/>
    <w:lvl w:ilvl="0" w:tplc="AE2E8CC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6B733B"/>
    <w:multiLevelType w:val="multilevel"/>
    <w:tmpl w:val="D31C58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A52A09"/>
    <w:multiLevelType w:val="hybridMultilevel"/>
    <w:tmpl w:val="C50C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64635"/>
    <w:multiLevelType w:val="hybridMultilevel"/>
    <w:tmpl w:val="503C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5E509E"/>
    <w:multiLevelType w:val="multilevel"/>
    <w:tmpl w:val="26FE6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4033E9"/>
    <w:multiLevelType w:val="multilevel"/>
    <w:tmpl w:val="6C3E08D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145" w:hanging="720"/>
      </w:pPr>
      <w:rPr>
        <w:rFonts w:hint="default"/>
        <w:b/>
        <w:bCs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3D145A70"/>
    <w:multiLevelType w:val="multilevel"/>
    <w:tmpl w:val="6BAAEC42"/>
    <w:lvl w:ilvl="0">
      <w:start w:val="1"/>
      <w:numFmt w:val="decimal"/>
      <w:lvlText w:val="%1."/>
      <w:lvlJc w:val="left"/>
      <w:pPr>
        <w:ind w:left="643"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3119"/>
        </w:tabs>
        <w:ind w:left="3119" w:hanging="567"/>
      </w:pPr>
      <w:rPr>
        <w:rFonts w:hint="default"/>
      </w:rPr>
    </w:lvl>
    <w:lvl w:ilvl="2">
      <w:start w:val="1"/>
      <w:numFmt w:val="decimal"/>
      <w:lvlText w:val="%1.%2.%3."/>
      <w:lvlJc w:val="left"/>
      <w:pPr>
        <w:tabs>
          <w:tab w:val="num" w:pos="2556"/>
        </w:tabs>
        <w:ind w:left="2340" w:hanging="504"/>
      </w:pPr>
      <w:rPr>
        <w:rFonts w:hint="default"/>
      </w:rPr>
    </w:lvl>
    <w:lvl w:ilvl="3">
      <w:start w:val="1"/>
      <w:numFmt w:val="decimal"/>
      <w:lvlText w:val="%1.%2.%3.%4."/>
      <w:lvlJc w:val="left"/>
      <w:pPr>
        <w:tabs>
          <w:tab w:val="num" w:pos="3276"/>
        </w:tabs>
        <w:ind w:left="2844" w:hanging="648"/>
      </w:pPr>
      <w:rPr>
        <w:rFonts w:hint="default"/>
      </w:rPr>
    </w:lvl>
    <w:lvl w:ilvl="4">
      <w:start w:val="1"/>
      <w:numFmt w:val="decimal"/>
      <w:lvlText w:val="%1.%2.%3.%4.%5."/>
      <w:lvlJc w:val="left"/>
      <w:pPr>
        <w:tabs>
          <w:tab w:val="num" w:pos="3636"/>
        </w:tabs>
        <w:ind w:left="3348" w:hanging="792"/>
      </w:pPr>
      <w:rPr>
        <w:rFonts w:hint="default"/>
      </w:rPr>
    </w:lvl>
    <w:lvl w:ilvl="5">
      <w:start w:val="1"/>
      <w:numFmt w:val="decimal"/>
      <w:lvlText w:val="%1.%2.%3.%4.%5.%6."/>
      <w:lvlJc w:val="left"/>
      <w:pPr>
        <w:tabs>
          <w:tab w:val="num" w:pos="4356"/>
        </w:tabs>
        <w:ind w:left="3852" w:hanging="936"/>
      </w:pPr>
      <w:rPr>
        <w:rFonts w:hint="default"/>
      </w:rPr>
    </w:lvl>
    <w:lvl w:ilvl="6">
      <w:start w:val="1"/>
      <w:numFmt w:val="decimal"/>
      <w:lvlText w:val="%1.%2.%3.%4.%5.%6.%7."/>
      <w:lvlJc w:val="left"/>
      <w:pPr>
        <w:tabs>
          <w:tab w:val="num" w:pos="4716"/>
        </w:tabs>
        <w:ind w:left="4356" w:hanging="1080"/>
      </w:pPr>
      <w:rPr>
        <w:rFonts w:hint="default"/>
      </w:rPr>
    </w:lvl>
    <w:lvl w:ilvl="7">
      <w:start w:val="1"/>
      <w:numFmt w:val="decimal"/>
      <w:lvlText w:val="%1.%2.%3.%4.%5.%6.%7.%8."/>
      <w:lvlJc w:val="left"/>
      <w:pPr>
        <w:tabs>
          <w:tab w:val="num" w:pos="5436"/>
        </w:tabs>
        <w:ind w:left="4860" w:hanging="1224"/>
      </w:pPr>
      <w:rPr>
        <w:rFonts w:hint="default"/>
      </w:rPr>
    </w:lvl>
    <w:lvl w:ilvl="8">
      <w:start w:val="1"/>
      <w:numFmt w:val="decimal"/>
      <w:lvlText w:val="%1.%2.%3.%4.%5.%6.%7.%8.%9."/>
      <w:lvlJc w:val="left"/>
      <w:pPr>
        <w:tabs>
          <w:tab w:val="num" w:pos="5796"/>
        </w:tabs>
        <w:ind w:left="5436" w:hanging="1440"/>
      </w:pPr>
      <w:rPr>
        <w:rFonts w:hint="default"/>
      </w:rPr>
    </w:lvl>
  </w:abstractNum>
  <w:abstractNum w:abstractNumId="19" w15:restartNumberingAfterBreak="0">
    <w:nsid w:val="3E976073"/>
    <w:multiLevelType w:val="hybridMultilevel"/>
    <w:tmpl w:val="D472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B349A5"/>
    <w:multiLevelType w:val="hybridMultilevel"/>
    <w:tmpl w:val="F54C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AD55E9"/>
    <w:multiLevelType w:val="multilevel"/>
    <w:tmpl w:val="4B705A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CC7BC7"/>
    <w:multiLevelType w:val="multilevel"/>
    <w:tmpl w:val="83AE52E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6B445E"/>
    <w:multiLevelType w:val="multilevel"/>
    <w:tmpl w:val="07A83992"/>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1E0DAB"/>
    <w:multiLevelType w:val="hybridMultilevel"/>
    <w:tmpl w:val="169EF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1452A6"/>
    <w:multiLevelType w:val="multilevel"/>
    <w:tmpl w:val="0372998C"/>
    <w:lvl w:ilvl="0">
      <w:start w:val="1"/>
      <w:numFmt w:val="decimal"/>
      <w:lvlText w:val="%1"/>
      <w:lvlJc w:val="left"/>
      <w:pPr>
        <w:ind w:left="360" w:hanging="360"/>
      </w:pPr>
      <w:rPr>
        <w:rFonts w:hint="default"/>
      </w:rPr>
    </w:lvl>
    <w:lvl w:ilvl="1">
      <w:start w:val="1"/>
      <w:numFmt w:val="decimal"/>
      <w:lvlText w:val="%1.%2"/>
      <w:lvlJc w:val="left"/>
      <w:pPr>
        <w:ind w:left="1227" w:hanging="36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26" w15:restartNumberingAfterBreak="0">
    <w:nsid w:val="4B536491"/>
    <w:multiLevelType w:val="multilevel"/>
    <w:tmpl w:val="C41CEF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EDA4F2A"/>
    <w:multiLevelType w:val="hybridMultilevel"/>
    <w:tmpl w:val="90208D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5138D6"/>
    <w:multiLevelType w:val="hybridMultilevel"/>
    <w:tmpl w:val="590ED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613F0"/>
    <w:multiLevelType w:val="multilevel"/>
    <w:tmpl w:val="2F902052"/>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0" w15:restartNumberingAfterBreak="0">
    <w:nsid w:val="61C17C52"/>
    <w:multiLevelType w:val="hybridMultilevel"/>
    <w:tmpl w:val="6C36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65F71"/>
    <w:multiLevelType w:val="multilevel"/>
    <w:tmpl w:val="81D41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E53FBA"/>
    <w:multiLevelType w:val="hybridMultilevel"/>
    <w:tmpl w:val="06C8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D03CFB"/>
    <w:multiLevelType w:val="hybridMultilevel"/>
    <w:tmpl w:val="0D0CCB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6B47A9"/>
    <w:multiLevelType w:val="hybridMultilevel"/>
    <w:tmpl w:val="DAA69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07B40"/>
    <w:multiLevelType w:val="multilevel"/>
    <w:tmpl w:val="5916396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8163FD3"/>
    <w:multiLevelType w:val="hybridMultilevel"/>
    <w:tmpl w:val="6B9A72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0F1070"/>
    <w:multiLevelType w:val="hybridMultilevel"/>
    <w:tmpl w:val="EDA2E3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C7A2DEA"/>
    <w:multiLevelType w:val="hybridMultilevel"/>
    <w:tmpl w:val="6DDAC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106782">
    <w:abstractNumId w:val="27"/>
  </w:num>
  <w:num w:numId="2" w16cid:durableId="677005631">
    <w:abstractNumId w:val="3"/>
  </w:num>
  <w:num w:numId="3" w16cid:durableId="1706980725">
    <w:abstractNumId w:val="6"/>
  </w:num>
  <w:num w:numId="4" w16cid:durableId="1843542622">
    <w:abstractNumId w:val="26"/>
  </w:num>
  <w:num w:numId="5" w16cid:durableId="712342979">
    <w:abstractNumId w:val="21"/>
  </w:num>
  <w:num w:numId="6" w16cid:durableId="1296638862">
    <w:abstractNumId w:val="0"/>
  </w:num>
  <w:num w:numId="7" w16cid:durableId="356780583">
    <w:abstractNumId w:val="10"/>
  </w:num>
  <w:num w:numId="8" w16cid:durableId="1494954904">
    <w:abstractNumId w:val="16"/>
  </w:num>
  <w:num w:numId="9" w16cid:durableId="1513641655">
    <w:abstractNumId w:val="7"/>
  </w:num>
  <w:num w:numId="10" w16cid:durableId="766657695">
    <w:abstractNumId w:val="13"/>
  </w:num>
  <w:num w:numId="11" w16cid:durableId="1940867944">
    <w:abstractNumId w:val="31"/>
  </w:num>
  <w:num w:numId="12" w16cid:durableId="527066980">
    <w:abstractNumId w:val="22"/>
  </w:num>
  <w:num w:numId="13" w16cid:durableId="1291522398">
    <w:abstractNumId w:val="8"/>
  </w:num>
  <w:num w:numId="14" w16cid:durableId="1025905389">
    <w:abstractNumId w:val="18"/>
  </w:num>
  <w:num w:numId="15" w16cid:durableId="565606205">
    <w:abstractNumId w:val="33"/>
  </w:num>
  <w:num w:numId="16" w16cid:durableId="988552560">
    <w:abstractNumId w:val="37"/>
  </w:num>
  <w:num w:numId="17" w16cid:durableId="1967198868">
    <w:abstractNumId w:val="4"/>
  </w:num>
  <w:num w:numId="18" w16cid:durableId="1544321772">
    <w:abstractNumId w:val="25"/>
  </w:num>
  <w:num w:numId="19" w16cid:durableId="453334670">
    <w:abstractNumId w:val="5"/>
  </w:num>
  <w:num w:numId="20" w16cid:durableId="357970942">
    <w:abstractNumId w:val="11"/>
  </w:num>
  <w:num w:numId="21" w16cid:durableId="1898663148">
    <w:abstractNumId w:val="35"/>
  </w:num>
  <w:num w:numId="22" w16cid:durableId="1918782720">
    <w:abstractNumId w:val="29"/>
  </w:num>
  <w:num w:numId="23" w16cid:durableId="777455063">
    <w:abstractNumId w:val="23"/>
  </w:num>
  <w:num w:numId="24" w16cid:durableId="1551380359">
    <w:abstractNumId w:val="12"/>
  </w:num>
  <w:num w:numId="25" w16cid:durableId="1364818212">
    <w:abstractNumId w:val="17"/>
  </w:num>
  <w:num w:numId="26" w16cid:durableId="273708697">
    <w:abstractNumId w:val="36"/>
  </w:num>
  <w:num w:numId="27" w16cid:durableId="1049764703">
    <w:abstractNumId w:val="9"/>
  </w:num>
  <w:num w:numId="28" w16cid:durableId="839470048">
    <w:abstractNumId w:val="14"/>
  </w:num>
  <w:num w:numId="29" w16cid:durableId="1144199518">
    <w:abstractNumId w:val="28"/>
  </w:num>
  <w:num w:numId="30" w16cid:durableId="679626532">
    <w:abstractNumId w:val="38"/>
  </w:num>
  <w:num w:numId="31" w16cid:durableId="1911384455">
    <w:abstractNumId w:val="15"/>
  </w:num>
  <w:num w:numId="32" w16cid:durableId="472021201">
    <w:abstractNumId w:val="24"/>
  </w:num>
  <w:num w:numId="33" w16cid:durableId="1755928745">
    <w:abstractNumId w:val="1"/>
  </w:num>
  <w:num w:numId="34" w16cid:durableId="2033802711">
    <w:abstractNumId w:val="19"/>
  </w:num>
  <w:num w:numId="35" w16cid:durableId="1281843551">
    <w:abstractNumId w:val="20"/>
  </w:num>
  <w:num w:numId="36" w16cid:durableId="659425282">
    <w:abstractNumId w:val="30"/>
  </w:num>
  <w:num w:numId="37" w16cid:durableId="751466653">
    <w:abstractNumId w:val="34"/>
  </w:num>
  <w:num w:numId="38" w16cid:durableId="877012716">
    <w:abstractNumId w:val="32"/>
  </w:num>
  <w:num w:numId="39" w16cid:durableId="946692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1FA"/>
    <w:rsid w:val="000020CB"/>
    <w:rsid w:val="00016273"/>
    <w:rsid w:val="00017FF4"/>
    <w:rsid w:val="00024729"/>
    <w:rsid w:val="00031B25"/>
    <w:rsid w:val="00032EF3"/>
    <w:rsid w:val="00044004"/>
    <w:rsid w:val="0004433B"/>
    <w:rsid w:val="00044486"/>
    <w:rsid w:val="000509E1"/>
    <w:rsid w:val="00050D92"/>
    <w:rsid w:val="00051EC4"/>
    <w:rsid w:val="0005504B"/>
    <w:rsid w:val="00055E63"/>
    <w:rsid w:val="00066DC4"/>
    <w:rsid w:val="000679B1"/>
    <w:rsid w:val="00074C1A"/>
    <w:rsid w:val="0008697E"/>
    <w:rsid w:val="00097FE5"/>
    <w:rsid w:val="000A0B40"/>
    <w:rsid w:val="000B1A9D"/>
    <w:rsid w:val="000B7115"/>
    <w:rsid w:val="000C6454"/>
    <w:rsid w:val="000E0A92"/>
    <w:rsid w:val="000F4663"/>
    <w:rsid w:val="001017AD"/>
    <w:rsid w:val="00101BBD"/>
    <w:rsid w:val="00102DD7"/>
    <w:rsid w:val="00105ABF"/>
    <w:rsid w:val="0010606C"/>
    <w:rsid w:val="00114DDF"/>
    <w:rsid w:val="00124849"/>
    <w:rsid w:val="00126C06"/>
    <w:rsid w:val="00126F06"/>
    <w:rsid w:val="0013471F"/>
    <w:rsid w:val="00135FC7"/>
    <w:rsid w:val="00135FDC"/>
    <w:rsid w:val="001417CE"/>
    <w:rsid w:val="00144100"/>
    <w:rsid w:val="0014526D"/>
    <w:rsid w:val="00145E19"/>
    <w:rsid w:val="00164A0C"/>
    <w:rsid w:val="00167CC8"/>
    <w:rsid w:val="00170E7C"/>
    <w:rsid w:val="00173C06"/>
    <w:rsid w:val="00177EDE"/>
    <w:rsid w:val="00192CAD"/>
    <w:rsid w:val="001A5AA3"/>
    <w:rsid w:val="001A5CAF"/>
    <w:rsid w:val="001B7688"/>
    <w:rsid w:val="001C4BC3"/>
    <w:rsid w:val="001D117F"/>
    <w:rsid w:val="001D5E1F"/>
    <w:rsid w:val="001E0395"/>
    <w:rsid w:val="001E2BB2"/>
    <w:rsid w:val="001E5A7D"/>
    <w:rsid w:val="001F181B"/>
    <w:rsid w:val="001F2984"/>
    <w:rsid w:val="001F491D"/>
    <w:rsid w:val="002006AD"/>
    <w:rsid w:val="00201CA3"/>
    <w:rsid w:val="002149DC"/>
    <w:rsid w:val="002155FA"/>
    <w:rsid w:val="00223650"/>
    <w:rsid w:val="002273AF"/>
    <w:rsid w:val="00230AA3"/>
    <w:rsid w:val="00233468"/>
    <w:rsid w:val="00233DA9"/>
    <w:rsid w:val="00237F91"/>
    <w:rsid w:val="0024224C"/>
    <w:rsid w:val="0025630D"/>
    <w:rsid w:val="00257083"/>
    <w:rsid w:val="0026334B"/>
    <w:rsid w:val="00264DEA"/>
    <w:rsid w:val="00270868"/>
    <w:rsid w:val="002710D9"/>
    <w:rsid w:val="00286FD8"/>
    <w:rsid w:val="002A76AA"/>
    <w:rsid w:val="002B327D"/>
    <w:rsid w:val="002B6FDB"/>
    <w:rsid w:val="002C6BE1"/>
    <w:rsid w:val="002D18D7"/>
    <w:rsid w:val="002E02E9"/>
    <w:rsid w:val="002E18E8"/>
    <w:rsid w:val="002E24B4"/>
    <w:rsid w:val="002E6CFF"/>
    <w:rsid w:val="002F636A"/>
    <w:rsid w:val="00302B42"/>
    <w:rsid w:val="003030F3"/>
    <w:rsid w:val="0030794E"/>
    <w:rsid w:val="00310D09"/>
    <w:rsid w:val="00315239"/>
    <w:rsid w:val="003234E0"/>
    <w:rsid w:val="00334869"/>
    <w:rsid w:val="00340E84"/>
    <w:rsid w:val="00341502"/>
    <w:rsid w:val="003415D1"/>
    <w:rsid w:val="00341649"/>
    <w:rsid w:val="00343C44"/>
    <w:rsid w:val="00345EA5"/>
    <w:rsid w:val="0035311E"/>
    <w:rsid w:val="0035351F"/>
    <w:rsid w:val="00361A3F"/>
    <w:rsid w:val="0036307C"/>
    <w:rsid w:val="00373CC2"/>
    <w:rsid w:val="00374FB1"/>
    <w:rsid w:val="00380036"/>
    <w:rsid w:val="003828DD"/>
    <w:rsid w:val="003830FE"/>
    <w:rsid w:val="003852D0"/>
    <w:rsid w:val="00385910"/>
    <w:rsid w:val="00386562"/>
    <w:rsid w:val="003B66F8"/>
    <w:rsid w:val="003C3F9A"/>
    <w:rsid w:val="003D1059"/>
    <w:rsid w:val="003E4B64"/>
    <w:rsid w:val="003E5803"/>
    <w:rsid w:val="003F0AB5"/>
    <w:rsid w:val="00407FFA"/>
    <w:rsid w:val="00427FC0"/>
    <w:rsid w:val="00437A2D"/>
    <w:rsid w:val="00443D8A"/>
    <w:rsid w:val="0045217F"/>
    <w:rsid w:val="004564A5"/>
    <w:rsid w:val="004648B2"/>
    <w:rsid w:val="00477733"/>
    <w:rsid w:val="00480E73"/>
    <w:rsid w:val="0048177D"/>
    <w:rsid w:val="004839C4"/>
    <w:rsid w:val="004A1A14"/>
    <w:rsid w:val="004B2A59"/>
    <w:rsid w:val="004C58AB"/>
    <w:rsid w:val="004D1E5E"/>
    <w:rsid w:val="004D25D5"/>
    <w:rsid w:val="004D553E"/>
    <w:rsid w:val="004E0EC1"/>
    <w:rsid w:val="004E2C31"/>
    <w:rsid w:val="004E2CDF"/>
    <w:rsid w:val="004E69A4"/>
    <w:rsid w:val="004F3CB3"/>
    <w:rsid w:val="004F4E45"/>
    <w:rsid w:val="004F7437"/>
    <w:rsid w:val="00502E62"/>
    <w:rsid w:val="00505E5F"/>
    <w:rsid w:val="00506CB3"/>
    <w:rsid w:val="00522B42"/>
    <w:rsid w:val="00530328"/>
    <w:rsid w:val="0053243F"/>
    <w:rsid w:val="005351FA"/>
    <w:rsid w:val="00546198"/>
    <w:rsid w:val="00560EB9"/>
    <w:rsid w:val="00574F85"/>
    <w:rsid w:val="0058688C"/>
    <w:rsid w:val="00591733"/>
    <w:rsid w:val="00591D98"/>
    <w:rsid w:val="00595D10"/>
    <w:rsid w:val="005A1AFE"/>
    <w:rsid w:val="005A392A"/>
    <w:rsid w:val="005B10D4"/>
    <w:rsid w:val="005B262D"/>
    <w:rsid w:val="005B2D4C"/>
    <w:rsid w:val="005C0A0B"/>
    <w:rsid w:val="005C4AB8"/>
    <w:rsid w:val="005C5F6E"/>
    <w:rsid w:val="005C76F5"/>
    <w:rsid w:val="005C7C47"/>
    <w:rsid w:val="005D114E"/>
    <w:rsid w:val="005D6EE7"/>
    <w:rsid w:val="005E36F9"/>
    <w:rsid w:val="005E50BB"/>
    <w:rsid w:val="005E5264"/>
    <w:rsid w:val="005E72E4"/>
    <w:rsid w:val="005F1127"/>
    <w:rsid w:val="005F590A"/>
    <w:rsid w:val="005F77B1"/>
    <w:rsid w:val="00602F1A"/>
    <w:rsid w:val="006149E0"/>
    <w:rsid w:val="00615D2B"/>
    <w:rsid w:val="00620818"/>
    <w:rsid w:val="00620844"/>
    <w:rsid w:val="00625E5D"/>
    <w:rsid w:val="006302D8"/>
    <w:rsid w:val="006320CC"/>
    <w:rsid w:val="006328C6"/>
    <w:rsid w:val="00635894"/>
    <w:rsid w:val="00635BF4"/>
    <w:rsid w:val="00637884"/>
    <w:rsid w:val="00640C85"/>
    <w:rsid w:val="00643B8A"/>
    <w:rsid w:val="00647DA7"/>
    <w:rsid w:val="006507CA"/>
    <w:rsid w:val="00651BCF"/>
    <w:rsid w:val="00657731"/>
    <w:rsid w:val="006618DE"/>
    <w:rsid w:val="00661E82"/>
    <w:rsid w:val="00662209"/>
    <w:rsid w:val="0066341B"/>
    <w:rsid w:val="00664E5D"/>
    <w:rsid w:val="0067333D"/>
    <w:rsid w:val="0067614F"/>
    <w:rsid w:val="006825EA"/>
    <w:rsid w:val="00683A00"/>
    <w:rsid w:val="0068657F"/>
    <w:rsid w:val="00686732"/>
    <w:rsid w:val="0068770A"/>
    <w:rsid w:val="0069423A"/>
    <w:rsid w:val="006B090C"/>
    <w:rsid w:val="006B76D3"/>
    <w:rsid w:val="006C42A3"/>
    <w:rsid w:val="006D4936"/>
    <w:rsid w:val="006D7577"/>
    <w:rsid w:val="006E27ED"/>
    <w:rsid w:val="006E562F"/>
    <w:rsid w:val="006E7A76"/>
    <w:rsid w:val="00716197"/>
    <w:rsid w:val="0073309B"/>
    <w:rsid w:val="00744DE4"/>
    <w:rsid w:val="007506CE"/>
    <w:rsid w:val="007538E5"/>
    <w:rsid w:val="007545C6"/>
    <w:rsid w:val="00762E90"/>
    <w:rsid w:val="007630E2"/>
    <w:rsid w:val="00786A67"/>
    <w:rsid w:val="00790710"/>
    <w:rsid w:val="00793059"/>
    <w:rsid w:val="00793585"/>
    <w:rsid w:val="00796620"/>
    <w:rsid w:val="00796F5C"/>
    <w:rsid w:val="007A1334"/>
    <w:rsid w:val="007A38DD"/>
    <w:rsid w:val="007B2215"/>
    <w:rsid w:val="007B3C89"/>
    <w:rsid w:val="007B7E13"/>
    <w:rsid w:val="007C0D05"/>
    <w:rsid w:val="007C66C9"/>
    <w:rsid w:val="007D26E3"/>
    <w:rsid w:val="007E7A9B"/>
    <w:rsid w:val="00800D03"/>
    <w:rsid w:val="00813D6D"/>
    <w:rsid w:val="008144E2"/>
    <w:rsid w:val="00822085"/>
    <w:rsid w:val="00824956"/>
    <w:rsid w:val="00831543"/>
    <w:rsid w:val="00843798"/>
    <w:rsid w:val="0085498A"/>
    <w:rsid w:val="00856DE7"/>
    <w:rsid w:val="00871A50"/>
    <w:rsid w:val="00881B75"/>
    <w:rsid w:val="00887B04"/>
    <w:rsid w:val="00895B33"/>
    <w:rsid w:val="008971BC"/>
    <w:rsid w:val="008A4C16"/>
    <w:rsid w:val="008B0605"/>
    <w:rsid w:val="008B3AC9"/>
    <w:rsid w:val="008B4EBD"/>
    <w:rsid w:val="008D5A65"/>
    <w:rsid w:val="008E209D"/>
    <w:rsid w:val="008E2774"/>
    <w:rsid w:val="008E42A5"/>
    <w:rsid w:val="008E6417"/>
    <w:rsid w:val="008F1CCC"/>
    <w:rsid w:val="008F56AD"/>
    <w:rsid w:val="00900D8D"/>
    <w:rsid w:val="00911816"/>
    <w:rsid w:val="00913B7B"/>
    <w:rsid w:val="00916E90"/>
    <w:rsid w:val="00926130"/>
    <w:rsid w:val="00926197"/>
    <w:rsid w:val="00931C84"/>
    <w:rsid w:val="009360E2"/>
    <w:rsid w:val="00942F86"/>
    <w:rsid w:val="00944857"/>
    <w:rsid w:val="00944FBE"/>
    <w:rsid w:val="00946D6C"/>
    <w:rsid w:val="0095718F"/>
    <w:rsid w:val="00962B26"/>
    <w:rsid w:val="00964376"/>
    <w:rsid w:val="00965BCD"/>
    <w:rsid w:val="00985FB1"/>
    <w:rsid w:val="00986CE8"/>
    <w:rsid w:val="00990116"/>
    <w:rsid w:val="009918B7"/>
    <w:rsid w:val="009A0F98"/>
    <w:rsid w:val="009A4BBF"/>
    <w:rsid w:val="009A53F4"/>
    <w:rsid w:val="009A684A"/>
    <w:rsid w:val="009B0402"/>
    <w:rsid w:val="009B0422"/>
    <w:rsid w:val="009B5F1F"/>
    <w:rsid w:val="009C4214"/>
    <w:rsid w:val="009C4560"/>
    <w:rsid w:val="009C6DA0"/>
    <w:rsid w:val="009D0185"/>
    <w:rsid w:val="009D521B"/>
    <w:rsid w:val="009D7D55"/>
    <w:rsid w:val="009F384A"/>
    <w:rsid w:val="00A00AAC"/>
    <w:rsid w:val="00A01F8F"/>
    <w:rsid w:val="00A027E9"/>
    <w:rsid w:val="00A07C60"/>
    <w:rsid w:val="00A10092"/>
    <w:rsid w:val="00A12FBC"/>
    <w:rsid w:val="00A21C7D"/>
    <w:rsid w:val="00A27C7A"/>
    <w:rsid w:val="00A307FD"/>
    <w:rsid w:val="00A33A94"/>
    <w:rsid w:val="00A3528C"/>
    <w:rsid w:val="00A40293"/>
    <w:rsid w:val="00A40EDE"/>
    <w:rsid w:val="00A50DC5"/>
    <w:rsid w:val="00A636DC"/>
    <w:rsid w:val="00A6683D"/>
    <w:rsid w:val="00A868E6"/>
    <w:rsid w:val="00A930D0"/>
    <w:rsid w:val="00AA1CBD"/>
    <w:rsid w:val="00AA26D2"/>
    <w:rsid w:val="00AA2F30"/>
    <w:rsid w:val="00AB3F73"/>
    <w:rsid w:val="00AB7437"/>
    <w:rsid w:val="00AD257E"/>
    <w:rsid w:val="00AD2D47"/>
    <w:rsid w:val="00AD38B3"/>
    <w:rsid w:val="00AE002F"/>
    <w:rsid w:val="00AE0BDD"/>
    <w:rsid w:val="00AE18C4"/>
    <w:rsid w:val="00AE3811"/>
    <w:rsid w:val="00AE7867"/>
    <w:rsid w:val="00AF0E8F"/>
    <w:rsid w:val="00AF2709"/>
    <w:rsid w:val="00AF3035"/>
    <w:rsid w:val="00AF674C"/>
    <w:rsid w:val="00B0597C"/>
    <w:rsid w:val="00B0721F"/>
    <w:rsid w:val="00B20763"/>
    <w:rsid w:val="00B207BA"/>
    <w:rsid w:val="00B22A3B"/>
    <w:rsid w:val="00B3317C"/>
    <w:rsid w:val="00B341F2"/>
    <w:rsid w:val="00B51197"/>
    <w:rsid w:val="00B66315"/>
    <w:rsid w:val="00B71799"/>
    <w:rsid w:val="00B7382A"/>
    <w:rsid w:val="00B75F4C"/>
    <w:rsid w:val="00B850FE"/>
    <w:rsid w:val="00B85919"/>
    <w:rsid w:val="00B93E8B"/>
    <w:rsid w:val="00B95F69"/>
    <w:rsid w:val="00B96D07"/>
    <w:rsid w:val="00BA1AE3"/>
    <w:rsid w:val="00BA2461"/>
    <w:rsid w:val="00BA378C"/>
    <w:rsid w:val="00BA39AC"/>
    <w:rsid w:val="00BA4CCC"/>
    <w:rsid w:val="00BB2E72"/>
    <w:rsid w:val="00BB5840"/>
    <w:rsid w:val="00BB5B6B"/>
    <w:rsid w:val="00BD1CF5"/>
    <w:rsid w:val="00BD2FAF"/>
    <w:rsid w:val="00BD4AF7"/>
    <w:rsid w:val="00BE35B7"/>
    <w:rsid w:val="00BF248C"/>
    <w:rsid w:val="00BF254D"/>
    <w:rsid w:val="00BF4912"/>
    <w:rsid w:val="00C1056C"/>
    <w:rsid w:val="00C12095"/>
    <w:rsid w:val="00C20AE5"/>
    <w:rsid w:val="00C25281"/>
    <w:rsid w:val="00C25BF8"/>
    <w:rsid w:val="00C301C5"/>
    <w:rsid w:val="00C302B5"/>
    <w:rsid w:val="00C35B2F"/>
    <w:rsid w:val="00C479DC"/>
    <w:rsid w:val="00C54A90"/>
    <w:rsid w:val="00C54D09"/>
    <w:rsid w:val="00C57E41"/>
    <w:rsid w:val="00C76E7C"/>
    <w:rsid w:val="00C77CE8"/>
    <w:rsid w:val="00C8393C"/>
    <w:rsid w:val="00C918C8"/>
    <w:rsid w:val="00CC022B"/>
    <w:rsid w:val="00CE1C00"/>
    <w:rsid w:val="00CF7F41"/>
    <w:rsid w:val="00D07E56"/>
    <w:rsid w:val="00D157E9"/>
    <w:rsid w:val="00D2136B"/>
    <w:rsid w:val="00D215A0"/>
    <w:rsid w:val="00D25D2D"/>
    <w:rsid w:val="00D273DD"/>
    <w:rsid w:val="00D35A1A"/>
    <w:rsid w:val="00D4762F"/>
    <w:rsid w:val="00D51304"/>
    <w:rsid w:val="00D53215"/>
    <w:rsid w:val="00D53A61"/>
    <w:rsid w:val="00D6425D"/>
    <w:rsid w:val="00D724FD"/>
    <w:rsid w:val="00D72DAA"/>
    <w:rsid w:val="00D7745D"/>
    <w:rsid w:val="00D93906"/>
    <w:rsid w:val="00D971E8"/>
    <w:rsid w:val="00DA3FE7"/>
    <w:rsid w:val="00DA6E92"/>
    <w:rsid w:val="00DB23B9"/>
    <w:rsid w:val="00DB2E60"/>
    <w:rsid w:val="00DB335A"/>
    <w:rsid w:val="00DC6513"/>
    <w:rsid w:val="00DD6B8D"/>
    <w:rsid w:val="00DE0B38"/>
    <w:rsid w:val="00DE0F64"/>
    <w:rsid w:val="00DE7EC6"/>
    <w:rsid w:val="00DF321A"/>
    <w:rsid w:val="00E15D64"/>
    <w:rsid w:val="00E20056"/>
    <w:rsid w:val="00E20B52"/>
    <w:rsid w:val="00E20B6A"/>
    <w:rsid w:val="00E321CE"/>
    <w:rsid w:val="00E352AD"/>
    <w:rsid w:val="00E35F70"/>
    <w:rsid w:val="00E3663B"/>
    <w:rsid w:val="00E530FE"/>
    <w:rsid w:val="00E53F62"/>
    <w:rsid w:val="00E5518C"/>
    <w:rsid w:val="00E552C0"/>
    <w:rsid w:val="00E55FB8"/>
    <w:rsid w:val="00E63AED"/>
    <w:rsid w:val="00E64B26"/>
    <w:rsid w:val="00E6565F"/>
    <w:rsid w:val="00E67A2F"/>
    <w:rsid w:val="00E71261"/>
    <w:rsid w:val="00E73920"/>
    <w:rsid w:val="00E7452D"/>
    <w:rsid w:val="00E8234B"/>
    <w:rsid w:val="00E835DC"/>
    <w:rsid w:val="00E83832"/>
    <w:rsid w:val="00E90EE2"/>
    <w:rsid w:val="00E94756"/>
    <w:rsid w:val="00E97B40"/>
    <w:rsid w:val="00EA10F2"/>
    <w:rsid w:val="00EA117F"/>
    <w:rsid w:val="00EA4362"/>
    <w:rsid w:val="00EB78D9"/>
    <w:rsid w:val="00EC01C6"/>
    <w:rsid w:val="00EC562E"/>
    <w:rsid w:val="00ED2363"/>
    <w:rsid w:val="00ED5CE9"/>
    <w:rsid w:val="00EE3682"/>
    <w:rsid w:val="00EE4BDE"/>
    <w:rsid w:val="00EE5E4D"/>
    <w:rsid w:val="00EE6259"/>
    <w:rsid w:val="00EF08CB"/>
    <w:rsid w:val="00EF4E9D"/>
    <w:rsid w:val="00EF726F"/>
    <w:rsid w:val="00F01D4C"/>
    <w:rsid w:val="00F07200"/>
    <w:rsid w:val="00F15068"/>
    <w:rsid w:val="00F21B0A"/>
    <w:rsid w:val="00F32D7C"/>
    <w:rsid w:val="00F33FF5"/>
    <w:rsid w:val="00F348C5"/>
    <w:rsid w:val="00F3772C"/>
    <w:rsid w:val="00F8391F"/>
    <w:rsid w:val="00F91156"/>
    <w:rsid w:val="00F95E2D"/>
    <w:rsid w:val="00F97AD3"/>
    <w:rsid w:val="00FA20B4"/>
    <w:rsid w:val="00FA4F37"/>
    <w:rsid w:val="00FB2133"/>
    <w:rsid w:val="00FB599E"/>
    <w:rsid w:val="00FB6BDC"/>
    <w:rsid w:val="00FC43B3"/>
    <w:rsid w:val="00FD554B"/>
    <w:rsid w:val="00FF26F9"/>
    <w:rsid w:val="023AC499"/>
    <w:rsid w:val="02C994CD"/>
    <w:rsid w:val="02CACFDA"/>
    <w:rsid w:val="06833A7D"/>
    <w:rsid w:val="06BBDE55"/>
    <w:rsid w:val="07ED999F"/>
    <w:rsid w:val="08D45671"/>
    <w:rsid w:val="0BAF9562"/>
    <w:rsid w:val="0E5852BB"/>
    <w:rsid w:val="0F52BA51"/>
    <w:rsid w:val="120ACA53"/>
    <w:rsid w:val="15726FC9"/>
    <w:rsid w:val="1572945D"/>
    <w:rsid w:val="15BA797A"/>
    <w:rsid w:val="16B221C5"/>
    <w:rsid w:val="174EF8E3"/>
    <w:rsid w:val="18741657"/>
    <w:rsid w:val="1892B3D9"/>
    <w:rsid w:val="19004A33"/>
    <w:rsid w:val="1A4BCBA9"/>
    <w:rsid w:val="21AACC13"/>
    <w:rsid w:val="2279E726"/>
    <w:rsid w:val="2679EF3A"/>
    <w:rsid w:val="2827DCAC"/>
    <w:rsid w:val="2875C4B3"/>
    <w:rsid w:val="29030E7C"/>
    <w:rsid w:val="2AEAC1D1"/>
    <w:rsid w:val="2B16C499"/>
    <w:rsid w:val="2BE15327"/>
    <w:rsid w:val="2C42A766"/>
    <w:rsid w:val="2CF1BDE1"/>
    <w:rsid w:val="2CF80CF6"/>
    <w:rsid w:val="314B417F"/>
    <w:rsid w:val="32FAC3AC"/>
    <w:rsid w:val="34E2D761"/>
    <w:rsid w:val="362E5BFC"/>
    <w:rsid w:val="37148A57"/>
    <w:rsid w:val="39462EB2"/>
    <w:rsid w:val="3DD043C3"/>
    <w:rsid w:val="3E6F5288"/>
    <w:rsid w:val="3F42CC0D"/>
    <w:rsid w:val="3F6C7DF9"/>
    <w:rsid w:val="402C0E78"/>
    <w:rsid w:val="410295CF"/>
    <w:rsid w:val="436F37FA"/>
    <w:rsid w:val="448B47DF"/>
    <w:rsid w:val="45316366"/>
    <w:rsid w:val="45B49A5A"/>
    <w:rsid w:val="47D81A39"/>
    <w:rsid w:val="48FF5463"/>
    <w:rsid w:val="493B2ABA"/>
    <w:rsid w:val="49528530"/>
    <w:rsid w:val="498F4058"/>
    <w:rsid w:val="4A08E879"/>
    <w:rsid w:val="4BDCCA68"/>
    <w:rsid w:val="4D23E855"/>
    <w:rsid w:val="4F495687"/>
    <w:rsid w:val="4F939069"/>
    <w:rsid w:val="50994D6E"/>
    <w:rsid w:val="524E495B"/>
    <w:rsid w:val="55C9A92B"/>
    <w:rsid w:val="55CCACA6"/>
    <w:rsid w:val="55F8D371"/>
    <w:rsid w:val="5613C024"/>
    <w:rsid w:val="568BD51B"/>
    <w:rsid w:val="5697C9B9"/>
    <w:rsid w:val="574B6986"/>
    <w:rsid w:val="59101646"/>
    <w:rsid w:val="5AB751B2"/>
    <w:rsid w:val="5B6D557C"/>
    <w:rsid w:val="5F912627"/>
    <w:rsid w:val="604E4C53"/>
    <w:rsid w:val="61193733"/>
    <w:rsid w:val="61527573"/>
    <w:rsid w:val="62451287"/>
    <w:rsid w:val="63CBD47F"/>
    <w:rsid w:val="67524480"/>
    <w:rsid w:val="68F72795"/>
    <w:rsid w:val="6A03D0A4"/>
    <w:rsid w:val="6A1D71DE"/>
    <w:rsid w:val="6CE1A6FE"/>
    <w:rsid w:val="7259DC55"/>
    <w:rsid w:val="739EC9EA"/>
    <w:rsid w:val="788FBDCC"/>
    <w:rsid w:val="7A54043F"/>
    <w:rsid w:val="7C0EBF6A"/>
    <w:rsid w:val="7E889934"/>
    <w:rsid w:val="7EC53A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05ACA"/>
  <w15:chartTrackingRefBased/>
  <w15:docId w15:val="{C84E549E-B606-4F2B-BC79-736B914C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D55"/>
    <w:pPr>
      <w:spacing w:before="120" w:after="0" w:line="312" w:lineRule="auto"/>
      <w:jc w:val="both"/>
    </w:pPr>
    <w:rPr>
      <w:rFonts w:ascii="Arial" w:eastAsia="Times New Roman" w:hAnsi="Arial" w:cs="Times New Roman"/>
      <w:szCs w:val="24"/>
      <w:lang w:val="en-US"/>
    </w:rPr>
  </w:style>
  <w:style w:type="paragraph" w:styleId="Heading1">
    <w:name w:val="heading 1"/>
    <w:basedOn w:val="Normal"/>
    <w:next w:val="Normal"/>
    <w:link w:val="Heading1Char"/>
    <w:qFormat/>
    <w:rsid w:val="005C0A0B"/>
    <w:pPr>
      <w:keepNext/>
      <w:numPr>
        <w:numId w:val="25"/>
      </w:numPr>
      <w:spacing w:before="360" w:after="120"/>
      <w:ind w:left="431" w:hanging="431"/>
      <w:outlineLvl w:val="0"/>
    </w:pPr>
    <w:rPr>
      <w:rFonts w:cs="Arial"/>
      <w:b/>
      <w:sz w:val="24"/>
      <w:szCs w:val="22"/>
    </w:rPr>
  </w:style>
  <w:style w:type="paragraph" w:styleId="Heading2">
    <w:name w:val="heading 2"/>
    <w:basedOn w:val="Normal"/>
    <w:next w:val="Normal"/>
    <w:link w:val="Heading2Char"/>
    <w:qFormat/>
    <w:rsid w:val="005C0A0B"/>
    <w:pPr>
      <w:keepNext/>
      <w:numPr>
        <w:ilvl w:val="1"/>
        <w:numId w:val="25"/>
      </w:numPr>
      <w:spacing w:before="240" w:after="120"/>
      <w:ind w:left="862" w:hanging="578"/>
      <w:outlineLvl w:val="1"/>
    </w:pPr>
    <w:rPr>
      <w:rFonts w:ascii="Arial Bold" w:hAnsi="Arial Bold" w:cs="Arial"/>
      <w:b/>
      <w:bCs/>
      <w:iCs/>
      <w:sz w:val="24"/>
      <w:szCs w:val="22"/>
    </w:rPr>
  </w:style>
  <w:style w:type="paragraph" w:styleId="Heading3">
    <w:name w:val="heading 3"/>
    <w:basedOn w:val="Normal"/>
    <w:next w:val="Normal"/>
    <w:link w:val="Heading3Char"/>
    <w:uiPriority w:val="9"/>
    <w:unhideWhenUsed/>
    <w:qFormat/>
    <w:rsid w:val="006320CC"/>
    <w:pPr>
      <w:keepNext/>
      <w:keepLines/>
      <w:numPr>
        <w:ilvl w:val="2"/>
        <w:numId w:val="25"/>
      </w:numPr>
      <w:outlineLvl w:val="2"/>
    </w:pPr>
    <w:rPr>
      <w:rFonts w:eastAsiaTheme="majorEastAsia" w:cstheme="majorBidi"/>
      <w:b/>
      <w:i/>
      <w:sz w:val="24"/>
    </w:rPr>
  </w:style>
  <w:style w:type="paragraph" w:styleId="Heading4">
    <w:name w:val="heading 4"/>
    <w:basedOn w:val="Normal"/>
    <w:next w:val="Normal"/>
    <w:link w:val="Heading4Char"/>
    <w:uiPriority w:val="9"/>
    <w:unhideWhenUsed/>
    <w:qFormat/>
    <w:rsid w:val="006B090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B090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B090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B090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B090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090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BBD"/>
    <w:pPr>
      <w:ind w:left="720"/>
      <w:contextualSpacing/>
    </w:pPr>
  </w:style>
  <w:style w:type="paragraph" w:styleId="Header">
    <w:name w:val="header"/>
    <w:basedOn w:val="Normal"/>
    <w:link w:val="HeaderChar"/>
    <w:uiPriority w:val="99"/>
    <w:unhideWhenUsed/>
    <w:rsid w:val="0085498A"/>
    <w:pPr>
      <w:tabs>
        <w:tab w:val="center" w:pos="4513"/>
        <w:tab w:val="right" w:pos="9026"/>
      </w:tabs>
    </w:pPr>
  </w:style>
  <w:style w:type="character" w:customStyle="1" w:styleId="HeaderChar">
    <w:name w:val="Header Char"/>
    <w:basedOn w:val="DefaultParagraphFont"/>
    <w:link w:val="Header"/>
    <w:uiPriority w:val="99"/>
    <w:rsid w:val="008549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5498A"/>
    <w:pPr>
      <w:tabs>
        <w:tab w:val="center" w:pos="4513"/>
        <w:tab w:val="right" w:pos="9026"/>
      </w:tabs>
    </w:pPr>
  </w:style>
  <w:style w:type="character" w:customStyle="1" w:styleId="FooterChar">
    <w:name w:val="Footer Char"/>
    <w:basedOn w:val="DefaultParagraphFont"/>
    <w:link w:val="Footer"/>
    <w:uiPriority w:val="99"/>
    <w:rsid w:val="0085498A"/>
    <w:rPr>
      <w:rFonts w:ascii="Times New Roman" w:eastAsia="Times New Roman" w:hAnsi="Times New Roman" w:cs="Times New Roman"/>
      <w:sz w:val="24"/>
      <w:szCs w:val="24"/>
      <w:lang w:val="en-US"/>
    </w:rPr>
  </w:style>
  <w:style w:type="paragraph" w:customStyle="1" w:styleId="Default">
    <w:name w:val="Default"/>
    <w:rsid w:val="0069423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AE0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E4B64"/>
    <w:rPr>
      <w:rFonts w:cs="Times New Roman"/>
    </w:rPr>
  </w:style>
  <w:style w:type="character" w:customStyle="1" w:styleId="Heading1Char">
    <w:name w:val="Heading 1 Char"/>
    <w:basedOn w:val="DefaultParagraphFont"/>
    <w:link w:val="Heading1"/>
    <w:rsid w:val="005C0A0B"/>
    <w:rPr>
      <w:rFonts w:ascii="Arial" w:eastAsia="Times New Roman" w:hAnsi="Arial" w:cs="Arial"/>
      <w:b/>
      <w:sz w:val="24"/>
      <w:lang w:val="en-US"/>
    </w:rPr>
  </w:style>
  <w:style w:type="character" w:customStyle="1" w:styleId="Heading2Char">
    <w:name w:val="Heading 2 Char"/>
    <w:basedOn w:val="DefaultParagraphFont"/>
    <w:link w:val="Heading2"/>
    <w:rsid w:val="005C0A0B"/>
    <w:rPr>
      <w:rFonts w:ascii="Arial Bold" w:eastAsia="Times New Roman" w:hAnsi="Arial Bold" w:cs="Arial"/>
      <w:b/>
      <w:bCs/>
      <w:iCs/>
      <w:sz w:val="24"/>
      <w:lang w:val="en-US"/>
    </w:rPr>
  </w:style>
  <w:style w:type="paragraph" w:styleId="TOCHeading">
    <w:name w:val="TOC Heading"/>
    <w:basedOn w:val="Heading1"/>
    <w:next w:val="Normal"/>
    <w:uiPriority w:val="39"/>
    <w:unhideWhenUsed/>
    <w:qFormat/>
    <w:rsid w:val="00790710"/>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90710"/>
    <w:pPr>
      <w:spacing w:after="100"/>
    </w:pPr>
  </w:style>
  <w:style w:type="paragraph" w:styleId="TOC2">
    <w:name w:val="toc 2"/>
    <w:basedOn w:val="Normal"/>
    <w:next w:val="Normal"/>
    <w:autoRedefine/>
    <w:uiPriority w:val="39"/>
    <w:unhideWhenUsed/>
    <w:rsid w:val="00790710"/>
    <w:pPr>
      <w:spacing w:after="100"/>
      <w:ind w:left="240"/>
    </w:pPr>
  </w:style>
  <w:style w:type="character" w:styleId="Hyperlink">
    <w:name w:val="Hyperlink"/>
    <w:basedOn w:val="DefaultParagraphFont"/>
    <w:uiPriority w:val="99"/>
    <w:unhideWhenUsed/>
    <w:rsid w:val="00790710"/>
    <w:rPr>
      <w:color w:val="0563C1" w:themeColor="hyperlink"/>
      <w:u w:val="single"/>
    </w:rPr>
  </w:style>
  <w:style w:type="character" w:styleId="CommentReference">
    <w:name w:val="annotation reference"/>
    <w:basedOn w:val="DefaultParagraphFont"/>
    <w:uiPriority w:val="99"/>
    <w:semiHidden/>
    <w:unhideWhenUsed/>
    <w:rsid w:val="00E20056"/>
    <w:rPr>
      <w:sz w:val="16"/>
      <w:szCs w:val="16"/>
    </w:rPr>
  </w:style>
  <w:style w:type="paragraph" w:styleId="CommentText">
    <w:name w:val="annotation text"/>
    <w:basedOn w:val="Normal"/>
    <w:link w:val="CommentTextChar"/>
    <w:uiPriority w:val="99"/>
    <w:unhideWhenUsed/>
    <w:rsid w:val="00E20056"/>
    <w:rPr>
      <w:sz w:val="20"/>
      <w:szCs w:val="20"/>
    </w:rPr>
  </w:style>
  <w:style w:type="character" w:customStyle="1" w:styleId="CommentTextChar">
    <w:name w:val="Comment Text Char"/>
    <w:basedOn w:val="DefaultParagraphFont"/>
    <w:link w:val="CommentText"/>
    <w:uiPriority w:val="99"/>
    <w:rsid w:val="00E2005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0056"/>
    <w:rPr>
      <w:b/>
      <w:bCs/>
    </w:rPr>
  </w:style>
  <w:style w:type="character" w:customStyle="1" w:styleId="CommentSubjectChar">
    <w:name w:val="Comment Subject Char"/>
    <w:basedOn w:val="CommentTextChar"/>
    <w:link w:val="CommentSubject"/>
    <w:uiPriority w:val="99"/>
    <w:semiHidden/>
    <w:rsid w:val="00E2005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20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56"/>
    <w:rPr>
      <w:rFonts w:ascii="Segoe UI" w:eastAsia="Times New Roman" w:hAnsi="Segoe UI" w:cs="Segoe UI"/>
      <w:sz w:val="18"/>
      <w:szCs w:val="18"/>
      <w:lang w:val="en-US"/>
    </w:rPr>
  </w:style>
  <w:style w:type="paragraph" w:styleId="Revision">
    <w:name w:val="Revision"/>
    <w:hidden/>
    <w:uiPriority w:val="99"/>
    <w:semiHidden/>
    <w:rsid w:val="00F97AD3"/>
    <w:p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6320CC"/>
    <w:rPr>
      <w:rFonts w:ascii="Arial" w:eastAsiaTheme="majorEastAsia" w:hAnsi="Arial" w:cstheme="majorBidi"/>
      <w:b/>
      <w:i/>
      <w:sz w:val="24"/>
      <w:szCs w:val="24"/>
      <w:lang w:val="en-US"/>
    </w:rPr>
  </w:style>
  <w:style w:type="character" w:customStyle="1" w:styleId="Heading4Char">
    <w:name w:val="Heading 4 Char"/>
    <w:basedOn w:val="DefaultParagraphFont"/>
    <w:link w:val="Heading4"/>
    <w:uiPriority w:val="9"/>
    <w:rsid w:val="006B090C"/>
    <w:rPr>
      <w:rFonts w:asciiTheme="majorHAnsi" w:eastAsiaTheme="majorEastAsia" w:hAnsiTheme="majorHAnsi" w:cstheme="majorBidi"/>
      <w:i/>
      <w:iCs/>
      <w:color w:val="2E74B5" w:themeColor="accent1" w:themeShade="BF"/>
      <w:sz w:val="24"/>
      <w:szCs w:val="24"/>
      <w:lang w:val="en-US"/>
    </w:rPr>
  </w:style>
  <w:style w:type="character" w:customStyle="1" w:styleId="Heading5Char">
    <w:name w:val="Heading 5 Char"/>
    <w:basedOn w:val="DefaultParagraphFont"/>
    <w:link w:val="Heading5"/>
    <w:uiPriority w:val="9"/>
    <w:rsid w:val="006B090C"/>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rsid w:val="006B090C"/>
    <w:rPr>
      <w:rFonts w:asciiTheme="majorHAnsi" w:eastAsiaTheme="majorEastAsia" w:hAnsiTheme="majorHAnsi" w:cstheme="majorBidi"/>
      <w:color w:val="1F4D78" w:themeColor="accent1" w:themeShade="7F"/>
      <w:sz w:val="24"/>
      <w:szCs w:val="24"/>
      <w:lang w:val="en-US"/>
    </w:rPr>
  </w:style>
  <w:style w:type="character" w:customStyle="1" w:styleId="Heading7Char">
    <w:name w:val="Heading 7 Char"/>
    <w:basedOn w:val="DefaultParagraphFont"/>
    <w:link w:val="Heading7"/>
    <w:uiPriority w:val="9"/>
    <w:semiHidden/>
    <w:rsid w:val="006B090C"/>
    <w:rPr>
      <w:rFonts w:asciiTheme="majorHAnsi" w:eastAsiaTheme="majorEastAsia" w:hAnsiTheme="majorHAnsi" w:cstheme="majorBidi"/>
      <w:i/>
      <w:iCs/>
      <w:color w:val="1F4D78" w:themeColor="accent1" w:themeShade="7F"/>
      <w:sz w:val="24"/>
      <w:szCs w:val="24"/>
      <w:lang w:val="en-US"/>
    </w:rPr>
  </w:style>
  <w:style w:type="character" w:customStyle="1" w:styleId="Heading8Char">
    <w:name w:val="Heading 8 Char"/>
    <w:basedOn w:val="DefaultParagraphFont"/>
    <w:link w:val="Heading8"/>
    <w:uiPriority w:val="9"/>
    <w:semiHidden/>
    <w:rsid w:val="006B090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B090C"/>
    <w:rPr>
      <w:rFonts w:asciiTheme="majorHAnsi" w:eastAsiaTheme="majorEastAsia" w:hAnsiTheme="majorHAnsi" w:cstheme="majorBidi"/>
      <w:i/>
      <w:iCs/>
      <w:color w:val="272727" w:themeColor="text1" w:themeTint="D8"/>
      <w:sz w:val="21"/>
      <w:szCs w:val="21"/>
      <w:lang w:val="en-US"/>
    </w:rPr>
  </w:style>
  <w:style w:type="paragraph" w:styleId="TOC3">
    <w:name w:val="toc 3"/>
    <w:basedOn w:val="Normal"/>
    <w:next w:val="Normal"/>
    <w:autoRedefine/>
    <w:uiPriority w:val="39"/>
    <w:unhideWhenUsed/>
    <w:rsid w:val="002D18D7"/>
    <w:pPr>
      <w:spacing w:after="100"/>
      <w:ind w:left="440"/>
    </w:pPr>
  </w:style>
  <w:style w:type="character" w:styleId="UnresolvedMention">
    <w:name w:val="Unresolved Mention"/>
    <w:basedOn w:val="DefaultParagraphFont"/>
    <w:uiPriority w:val="99"/>
    <w:semiHidden/>
    <w:unhideWhenUsed/>
    <w:rsid w:val="00E352AD"/>
    <w:rPr>
      <w:color w:val="605E5C"/>
      <w:shd w:val="clear" w:color="auto" w:fill="E1DFDD"/>
    </w:rPr>
  </w:style>
  <w:style w:type="paragraph" w:styleId="NormalWeb">
    <w:name w:val="Normal (Web)"/>
    <w:basedOn w:val="Normal"/>
    <w:uiPriority w:val="99"/>
    <w:semiHidden/>
    <w:unhideWhenUsed/>
    <w:rsid w:val="00620818"/>
    <w:pPr>
      <w:spacing w:before="100" w:beforeAutospacing="1" w:after="100" w:afterAutospacing="1" w:line="240" w:lineRule="auto"/>
      <w:jc w:val="left"/>
    </w:pPr>
    <w:rPr>
      <w:rFonts w:ascii="Times New Roman" w:hAnsi="Times New Roman"/>
      <w:sz w:val="24"/>
      <w:lang w:val="en-GB" w:eastAsia="en-GB"/>
    </w:rPr>
  </w:style>
  <w:style w:type="character" w:styleId="FollowedHyperlink">
    <w:name w:val="FollowedHyperlink"/>
    <w:basedOn w:val="DefaultParagraphFont"/>
    <w:uiPriority w:val="99"/>
    <w:semiHidden/>
    <w:unhideWhenUsed/>
    <w:rsid w:val="003B66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9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clinicalskills.net" TargetMode="External"/><Relationship Id="rId26" Type="http://schemas.openxmlformats.org/officeDocument/2006/relationships/hyperlink" Target="https://yellowcard.mhra.gov.uk/" TargetMode="External"/><Relationship Id="rId39" Type="http://schemas.openxmlformats.org/officeDocument/2006/relationships/hyperlink" Target="https://www.rpharms.com/Portals/0/RPS%20document%20library/Open%20access/Professional%20standards/SSHM%20and%20Admin/Admin%20of%20Meds%20prof%20guidance.pdf?ver=2019-01-23-145026-567" TargetMode="External"/><Relationship Id="rId21" Type="http://schemas.openxmlformats.org/officeDocument/2006/relationships/hyperlink" Target="https://assets.publishing.service.gov.uk/government/uploads/system/uploads/attachment_data/file/660902/Green_book_cover_and_contents.pdf" TargetMode="External"/><Relationship Id="rId34" Type="http://schemas.openxmlformats.org/officeDocument/2006/relationships/hyperlink" Target="https://www.rcn.org.uk/professional-development/publications/pub-005704" TargetMode="External"/><Relationship Id="rId42" Type="http://schemas.openxmlformats.org/officeDocument/2006/relationships/hyperlink" Target="https://www.rpharms.com/Portals/0/RPS%20document%20library/Open%20access/Professional%20standards/SSHM%20and%20Admin/Admin%20of%20Meds%20prof%20guidance.pdf?ver=2019-01-23-145026-567" TargetMode="External"/><Relationship Id="rId47" Type="http://schemas.openxmlformats.org/officeDocument/2006/relationships/hyperlink" Target="https://www.rpharms.com/Portals/0/RPS%20document%20library/Open%20access/Professional%20standards/SSHM%20and%20Admin/Admin%20of%20Meds%20prof%20guidance.pdf?ver=2019-01-23-145026-567" TargetMode="External"/><Relationship Id="rId50" Type="http://schemas.openxmlformats.org/officeDocument/2006/relationships/hyperlink" Target="https://www.rpharms.com/Portals/0/RPS%20document%20library/Open%20access/Professional%20standards/SSHM%20and%20Admin/Admin%20of%20Meds%20prof%20guidance.pdf?ver=2019-01-23-145026-567"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yellowcard.mhra.gov.uk/" TargetMode="External"/><Relationship Id="rId29" Type="http://schemas.openxmlformats.org/officeDocument/2006/relationships/hyperlink" Target="https://www.nmc.org.uk/standards/code/" TargetMode="External"/><Relationship Id="rId11" Type="http://schemas.openxmlformats.org/officeDocument/2006/relationships/image" Target="media/image1.png"/><Relationship Id="rId24" Type="http://schemas.openxmlformats.org/officeDocument/2006/relationships/hyperlink" Target="https://assets.publishing.service.gov.uk/government/uploads/system/uploads/attachment_data/file/660902/Green_book_cover_and_contents.pdf" TargetMode="External"/><Relationship Id="rId32" Type="http://schemas.openxmlformats.org/officeDocument/2006/relationships/hyperlink" Target="https://www.rcn.org.uk/professional-development/publications/pub-005704" TargetMode="External"/><Relationship Id="rId37" Type="http://schemas.openxmlformats.org/officeDocument/2006/relationships/hyperlink" Target="https://www.rpharms.com/Portals/0/RPS%20document%20library/Open%20access/Professional%20standards/SSHM%20and%20Admin/Admin%20of%20Meds%20prof%20guidance.pdf?ver=2019-01-23-145026-567" TargetMode="External"/><Relationship Id="rId40" Type="http://schemas.openxmlformats.org/officeDocument/2006/relationships/hyperlink" Target="https://www.rpharms.com/Portals/0/RPS%20document%20library/Open%20access/Professional%20standards/SSHM%20and%20Admin/Admin%20of%20Meds%20prof%20guidance.pdf?ver=2019-01-23-145026-567" TargetMode="External"/><Relationship Id="rId45" Type="http://schemas.openxmlformats.org/officeDocument/2006/relationships/hyperlink" Target="https://www.rpharms.com/Portals/0/RPS%20document%20library/Open%20access/Professional%20standards/SSHM%20and%20Admin/Admin%20of%20Meds%20prof%20guidance.pdf?ver=2019-01-23-145026-567" TargetMode="External"/><Relationship Id="rId53" Type="http://schemas.openxmlformats.org/officeDocument/2006/relationships/image" Target="media/image3.jp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rcn.org.uk/professional-development/publications/pub-005704" TargetMode="External"/><Relationship Id="rId44" Type="http://schemas.openxmlformats.org/officeDocument/2006/relationships/hyperlink" Target="https://www.rpharms.com/Portals/0/RPS%20document%20library/Open%20access/Professional%20standards/SSHM%20and%20Admin/Admin%20of%20Meds%20prof%20guidance.pdf?ver=2019-01-23-145026-567" TargetMode="External"/><Relationship Id="rId52"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assets.publishing.service.gov.uk/government/uploads/system/uploads/attachment_data/file/660902/Green_book_cover_and_contents.pdf" TargetMode="External"/><Relationship Id="rId27" Type="http://schemas.openxmlformats.org/officeDocument/2006/relationships/hyperlink" Target="https://www.nmc.org.uk/standards/standards-for-nurses/standards-of-proficiency-for-registered-nurses/" TargetMode="External"/><Relationship Id="rId30" Type="http://schemas.openxmlformats.org/officeDocument/2006/relationships/hyperlink" Target="https://www.nmc.org.uk/standards/code/" TargetMode="External"/><Relationship Id="rId35" Type="http://schemas.openxmlformats.org/officeDocument/2006/relationships/hyperlink" Target="https://www.rcn.org.uk/professional-development/publications/pub-005704" TargetMode="External"/><Relationship Id="rId43" Type="http://schemas.openxmlformats.org/officeDocument/2006/relationships/hyperlink" Target="https://www.rpharms.com/Portals/0/RPS%20document%20library/Open%20access/Professional%20standards/SSHM%20and%20Admin/Admin%20of%20Meds%20prof%20guidance.pdf?ver=2019-01-23-145026-567" TargetMode="External"/><Relationship Id="rId48" Type="http://schemas.openxmlformats.org/officeDocument/2006/relationships/hyperlink" Target="https://www.rpharms.com/Portals/0/RPS%20document%20library/Open%20access/Professional%20standards/SSHM%20and%20Admin/Admin%20of%20Meds%20prof%20guidance.pdf?ver=2019-01-23-145026-567"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rpharms.com/Portals/0/RPS%20document%20library/Open%20access/Professional%20standards/SSHM%20and%20Admin/Admin%20of%20Meds%20prof%20guidance.pdf?ver=2019-01-23-145026-567"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clinicalskills.net" TargetMode="External"/><Relationship Id="rId25" Type="http://schemas.openxmlformats.org/officeDocument/2006/relationships/hyperlink" Target="https://yellowcard.mhra.gov.uk/" TargetMode="External"/><Relationship Id="rId33" Type="http://schemas.openxmlformats.org/officeDocument/2006/relationships/hyperlink" Target="https://www.rcn.org.uk/professional-development/publications/pub-005704" TargetMode="External"/><Relationship Id="rId38" Type="http://schemas.openxmlformats.org/officeDocument/2006/relationships/hyperlink" Target="https://www.rpharms.com/Portals/0/RPS%20document%20library/Open%20access/Professional%20standards/SSHM%20and%20Admin/Admin%20of%20Meds%20prof%20guidance.pdf?ver=2019-01-23-145026-567" TargetMode="External"/><Relationship Id="rId46" Type="http://schemas.openxmlformats.org/officeDocument/2006/relationships/hyperlink" Target="https://www.rpharms.com/Portals/0/RPS%20document%20library/Open%20access/Professional%20standards/SSHM%20and%20Admin/Admin%20of%20Meds%20prof%20guidance.pdf?ver=2019-01-23-145026-567" TargetMode="External"/><Relationship Id="rId20" Type="http://schemas.openxmlformats.org/officeDocument/2006/relationships/hyperlink" Target="https://assets.publishing.service.gov.uk/government/uploads/system/uploads/attachment_data/file/660902/Green_book_cover_and_contents.pdf" TargetMode="External"/><Relationship Id="rId41" Type="http://schemas.openxmlformats.org/officeDocument/2006/relationships/hyperlink" Target="https://www.rpharms.com/Portals/0/RPS%20document%20library/Open%20access/Professional%20standards/SSHM%20and%20Admin/Admin%20of%20Meds%20prof%20guidance.pdf?ver=2019-01-23-145026-567" TargetMode="External"/><Relationship Id="rId54"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cpch.ac.uk" TargetMode="External"/><Relationship Id="rId23" Type="http://schemas.openxmlformats.org/officeDocument/2006/relationships/hyperlink" Target="https://assets.publishing.service.gov.uk/government/uploads/system/uploads/attachment_data/file/660902/Green_book_cover_and_contents.pdf" TargetMode="External"/><Relationship Id="rId28" Type="http://schemas.openxmlformats.org/officeDocument/2006/relationships/hyperlink" Target="https://www.nmc.org.uk/standards/code/" TargetMode="External"/><Relationship Id="rId36" Type="http://schemas.openxmlformats.org/officeDocument/2006/relationships/hyperlink" Target="https://www.rcn.org.uk/professional-development/publications/pub-005704" TargetMode="External"/><Relationship Id="rId49" Type="http://schemas.openxmlformats.org/officeDocument/2006/relationships/hyperlink" Target="https://www.rpharms.com/Portals/0/RPS%20document%20library/Open%20access/Professional%20standards/SSHM%20and%20Admin/Admin%20of%20Meds%20prof%20guidance.pdf?ver=2019-01-23-145026-5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15" ma:contentTypeDescription="Create a new document." ma:contentTypeScope="" ma:versionID="1e818e7e0b549dc454eee8cb7d62130b">
  <xsd:schema xmlns:xsd="http://www.w3.org/2001/XMLSchema" xmlns:xs="http://www.w3.org/2001/XMLSchema" xmlns:p="http://schemas.microsoft.com/office/2006/metadata/properties" xmlns:ns2="bb47b9b4-3c1d-49f2-936e-a74394817770" xmlns:ns3="4e9c1639-3d95-44af-89cd-1beeed578cb7" targetNamespace="http://schemas.microsoft.com/office/2006/metadata/properties" ma:root="true" ma:fieldsID="2bf6de64e6580cc79d1432e75904c199" ns2:_="" ns3:_="">
    <xsd:import namespace="bb47b9b4-3c1d-49f2-936e-a74394817770"/>
    <xsd:import namespace="4e9c1639-3d95-44af-89cd-1beeed578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cf689d-64db-43a3-be28-6a346756c1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1639-3d95-44af-89cd-1beeed578c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e22389-2bcd-41a7-86d9-c8dda487c429}" ma:internalName="TaxCatchAll" ma:showField="CatchAllData" ma:web="4e9c1639-3d95-44af-89cd-1beeed578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9c1639-3d95-44af-89cd-1beeed578cb7" xsi:nil="true"/>
    <lcf76f155ced4ddcb4097134ff3c332f xmlns="bb47b9b4-3c1d-49f2-936e-a74394817770">
      <Terms xmlns="http://schemas.microsoft.com/office/infopath/2007/PartnerControls"/>
    </lcf76f155ced4ddcb4097134ff3c332f>
    <AddedtoPDL xmlns="bb47b9b4-3c1d-49f2-936e-a74394817770" xsi:nil="true"/>
    <MovetoMasterfile xmlns="bb47b9b4-3c1d-49f2-936e-a74394817770">false</MovetoMasterfil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B5F30-5897-4C97-B0E1-C4C5CAA26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4e9c1639-3d95-44af-89cd-1beeed578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2429A-E02C-4C1B-81E7-CF5F684D2FAB}">
  <ds:schemaRefs>
    <ds:schemaRef ds:uri="http://schemas.microsoft.com/office/2006/metadata/properties"/>
    <ds:schemaRef ds:uri="http://schemas.microsoft.com/office/infopath/2007/PartnerControls"/>
    <ds:schemaRef ds:uri="4e9c1639-3d95-44af-89cd-1beeed578cb7"/>
    <ds:schemaRef ds:uri="bb47b9b4-3c1d-49f2-936e-a74394817770"/>
  </ds:schemaRefs>
</ds:datastoreItem>
</file>

<file path=customXml/itemProps3.xml><?xml version="1.0" encoding="utf-8"?>
<ds:datastoreItem xmlns:ds="http://schemas.openxmlformats.org/officeDocument/2006/customXml" ds:itemID="{035C4D04-9844-4826-AFDA-E5E885E7F46D}">
  <ds:schemaRefs>
    <ds:schemaRef ds:uri="http://schemas.openxmlformats.org/officeDocument/2006/bibliography"/>
  </ds:schemaRefs>
</ds:datastoreItem>
</file>

<file path=customXml/itemProps4.xml><?xml version="1.0" encoding="utf-8"?>
<ds:datastoreItem xmlns:ds="http://schemas.openxmlformats.org/officeDocument/2006/customXml" ds:itemID="{65E69F34-2541-4904-9B33-0079667435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5602</Words>
  <Characters>31934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37462</CharactersWithSpaces>
  <SharedDoc>false</SharedDoc>
  <HLinks>
    <vt:vector size="420" baseType="variant">
      <vt:variant>
        <vt:i4>7143463</vt:i4>
      </vt:variant>
      <vt:variant>
        <vt:i4>315</vt:i4>
      </vt:variant>
      <vt:variant>
        <vt:i4>0</vt:i4>
      </vt:variant>
      <vt:variant>
        <vt:i4>5</vt:i4>
      </vt:variant>
      <vt:variant>
        <vt:lpwstr>https://www.rpharms.com/Portals/0/RPS document library/Open access/Professional standards/SSHM and Admin/Admin of Meds prof guidance.pdf?ver=2019-01-23-145026-567</vt:lpwstr>
      </vt:variant>
      <vt:variant>
        <vt:lpwstr/>
      </vt:variant>
      <vt:variant>
        <vt:i4>7143463</vt:i4>
      </vt:variant>
      <vt:variant>
        <vt:i4>312</vt:i4>
      </vt:variant>
      <vt:variant>
        <vt:i4>0</vt:i4>
      </vt:variant>
      <vt:variant>
        <vt:i4>5</vt:i4>
      </vt:variant>
      <vt:variant>
        <vt:lpwstr>https://www.rpharms.com/Portals/0/RPS document library/Open access/Professional standards/SSHM and Admin/Admin of Meds prof guidance.pdf?ver=2019-01-23-145026-567</vt:lpwstr>
      </vt:variant>
      <vt:variant>
        <vt:lpwstr/>
      </vt:variant>
      <vt:variant>
        <vt:i4>7143463</vt:i4>
      </vt:variant>
      <vt:variant>
        <vt:i4>309</vt:i4>
      </vt:variant>
      <vt:variant>
        <vt:i4>0</vt:i4>
      </vt:variant>
      <vt:variant>
        <vt:i4>5</vt:i4>
      </vt:variant>
      <vt:variant>
        <vt:lpwstr>https://www.rpharms.com/Portals/0/RPS document library/Open access/Professional standards/SSHM and Admin/Admin of Meds prof guidance.pdf?ver=2019-01-23-145026-567</vt:lpwstr>
      </vt:variant>
      <vt:variant>
        <vt:lpwstr/>
      </vt:variant>
      <vt:variant>
        <vt:i4>7143463</vt:i4>
      </vt:variant>
      <vt:variant>
        <vt:i4>306</vt:i4>
      </vt:variant>
      <vt:variant>
        <vt:i4>0</vt:i4>
      </vt:variant>
      <vt:variant>
        <vt:i4>5</vt:i4>
      </vt:variant>
      <vt:variant>
        <vt:lpwstr>https://www.rpharms.com/Portals/0/RPS document library/Open access/Professional standards/SSHM and Admin/Admin of Meds prof guidance.pdf?ver=2019-01-23-145026-567</vt:lpwstr>
      </vt:variant>
      <vt:variant>
        <vt:lpwstr/>
      </vt:variant>
      <vt:variant>
        <vt:i4>7143463</vt:i4>
      </vt:variant>
      <vt:variant>
        <vt:i4>303</vt:i4>
      </vt:variant>
      <vt:variant>
        <vt:i4>0</vt:i4>
      </vt:variant>
      <vt:variant>
        <vt:i4>5</vt:i4>
      </vt:variant>
      <vt:variant>
        <vt:lpwstr>https://www.rpharms.com/Portals/0/RPS document library/Open access/Professional standards/SSHM and Admin/Admin of Meds prof guidance.pdf?ver=2019-01-23-145026-567</vt:lpwstr>
      </vt:variant>
      <vt:variant>
        <vt:lpwstr/>
      </vt:variant>
      <vt:variant>
        <vt:i4>7143463</vt:i4>
      </vt:variant>
      <vt:variant>
        <vt:i4>300</vt:i4>
      </vt:variant>
      <vt:variant>
        <vt:i4>0</vt:i4>
      </vt:variant>
      <vt:variant>
        <vt:i4>5</vt:i4>
      </vt:variant>
      <vt:variant>
        <vt:lpwstr>https://www.rpharms.com/Portals/0/RPS document library/Open access/Professional standards/SSHM and Admin/Admin of Meds prof guidance.pdf?ver=2019-01-23-145026-567</vt:lpwstr>
      </vt:variant>
      <vt:variant>
        <vt:lpwstr/>
      </vt:variant>
      <vt:variant>
        <vt:i4>7143463</vt:i4>
      </vt:variant>
      <vt:variant>
        <vt:i4>297</vt:i4>
      </vt:variant>
      <vt:variant>
        <vt:i4>0</vt:i4>
      </vt:variant>
      <vt:variant>
        <vt:i4>5</vt:i4>
      </vt:variant>
      <vt:variant>
        <vt:lpwstr>https://www.rpharms.com/Portals/0/RPS document library/Open access/Professional standards/SSHM and Admin/Admin of Meds prof guidance.pdf?ver=2019-01-23-145026-567</vt:lpwstr>
      </vt:variant>
      <vt:variant>
        <vt:lpwstr/>
      </vt:variant>
      <vt:variant>
        <vt:i4>7143463</vt:i4>
      </vt:variant>
      <vt:variant>
        <vt:i4>294</vt:i4>
      </vt:variant>
      <vt:variant>
        <vt:i4>0</vt:i4>
      </vt:variant>
      <vt:variant>
        <vt:i4>5</vt:i4>
      </vt:variant>
      <vt:variant>
        <vt:lpwstr>https://www.rpharms.com/Portals/0/RPS document library/Open access/Professional standards/SSHM and Admin/Admin of Meds prof guidance.pdf?ver=2019-01-23-145026-567</vt:lpwstr>
      </vt:variant>
      <vt:variant>
        <vt:lpwstr/>
      </vt:variant>
      <vt:variant>
        <vt:i4>7143463</vt:i4>
      </vt:variant>
      <vt:variant>
        <vt:i4>291</vt:i4>
      </vt:variant>
      <vt:variant>
        <vt:i4>0</vt:i4>
      </vt:variant>
      <vt:variant>
        <vt:i4>5</vt:i4>
      </vt:variant>
      <vt:variant>
        <vt:lpwstr>https://www.rpharms.com/Portals/0/RPS document library/Open access/Professional standards/SSHM and Admin/Admin of Meds prof guidance.pdf?ver=2019-01-23-145026-567</vt:lpwstr>
      </vt:variant>
      <vt:variant>
        <vt:lpwstr/>
      </vt:variant>
      <vt:variant>
        <vt:i4>7143463</vt:i4>
      </vt:variant>
      <vt:variant>
        <vt:i4>288</vt:i4>
      </vt:variant>
      <vt:variant>
        <vt:i4>0</vt:i4>
      </vt:variant>
      <vt:variant>
        <vt:i4>5</vt:i4>
      </vt:variant>
      <vt:variant>
        <vt:lpwstr>https://www.rpharms.com/Portals/0/RPS document library/Open access/Professional standards/SSHM and Admin/Admin of Meds prof guidance.pdf?ver=2019-01-23-145026-567</vt:lpwstr>
      </vt:variant>
      <vt:variant>
        <vt:lpwstr/>
      </vt:variant>
      <vt:variant>
        <vt:i4>7143463</vt:i4>
      </vt:variant>
      <vt:variant>
        <vt:i4>285</vt:i4>
      </vt:variant>
      <vt:variant>
        <vt:i4>0</vt:i4>
      </vt:variant>
      <vt:variant>
        <vt:i4>5</vt:i4>
      </vt:variant>
      <vt:variant>
        <vt:lpwstr>https://www.rpharms.com/Portals/0/RPS document library/Open access/Professional standards/SSHM and Admin/Admin of Meds prof guidance.pdf?ver=2019-01-23-145026-567</vt:lpwstr>
      </vt:variant>
      <vt:variant>
        <vt:lpwstr/>
      </vt:variant>
      <vt:variant>
        <vt:i4>7143463</vt:i4>
      </vt:variant>
      <vt:variant>
        <vt:i4>282</vt:i4>
      </vt:variant>
      <vt:variant>
        <vt:i4>0</vt:i4>
      </vt:variant>
      <vt:variant>
        <vt:i4>5</vt:i4>
      </vt:variant>
      <vt:variant>
        <vt:lpwstr>https://www.rpharms.com/Portals/0/RPS document library/Open access/Professional standards/SSHM and Admin/Admin of Meds prof guidance.pdf?ver=2019-01-23-145026-567</vt:lpwstr>
      </vt:variant>
      <vt:variant>
        <vt:lpwstr/>
      </vt:variant>
      <vt:variant>
        <vt:i4>7143463</vt:i4>
      </vt:variant>
      <vt:variant>
        <vt:i4>279</vt:i4>
      </vt:variant>
      <vt:variant>
        <vt:i4>0</vt:i4>
      </vt:variant>
      <vt:variant>
        <vt:i4>5</vt:i4>
      </vt:variant>
      <vt:variant>
        <vt:lpwstr>https://www.rpharms.com/Portals/0/RPS document library/Open access/Professional standards/SSHM and Admin/Admin of Meds prof guidance.pdf?ver=2019-01-23-145026-567</vt:lpwstr>
      </vt:variant>
      <vt:variant>
        <vt:lpwstr/>
      </vt:variant>
      <vt:variant>
        <vt:i4>7143463</vt:i4>
      </vt:variant>
      <vt:variant>
        <vt:i4>276</vt:i4>
      </vt:variant>
      <vt:variant>
        <vt:i4>0</vt:i4>
      </vt:variant>
      <vt:variant>
        <vt:i4>5</vt:i4>
      </vt:variant>
      <vt:variant>
        <vt:lpwstr>https://www.rpharms.com/Portals/0/RPS document library/Open access/Professional standards/SSHM and Admin/Admin of Meds prof guidance.pdf?ver=2019-01-23-145026-567</vt:lpwstr>
      </vt:variant>
      <vt:variant>
        <vt:lpwstr/>
      </vt:variant>
      <vt:variant>
        <vt:i4>7143463</vt:i4>
      </vt:variant>
      <vt:variant>
        <vt:i4>273</vt:i4>
      </vt:variant>
      <vt:variant>
        <vt:i4>0</vt:i4>
      </vt:variant>
      <vt:variant>
        <vt:i4>5</vt:i4>
      </vt:variant>
      <vt:variant>
        <vt:lpwstr>https://www.rpharms.com/Portals/0/RPS document library/Open access/Professional standards/SSHM and Admin/Admin of Meds prof guidance.pdf?ver=2019-01-23-145026-567</vt:lpwstr>
      </vt:variant>
      <vt:variant>
        <vt:lpwstr/>
      </vt:variant>
      <vt:variant>
        <vt:i4>7209072</vt:i4>
      </vt:variant>
      <vt:variant>
        <vt:i4>270</vt:i4>
      </vt:variant>
      <vt:variant>
        <vt:i4>0</vt:i4>
      </vt:variant>
      <vt:variant>
        <vt:i4>5</vt:i4>
      </vt:variant>
      <vt:variant>
        <vt:lpwstr>https://www.rcn.org.uk/professional-development/publications/pub-005704</vt:lpwstr>
      </vt:variant>
      <vt:variant>
        <vt:lpwstr/>
      </vt:variant>
      <vt:variant>
        <vt:i4>7209072</vt:i4>
      </vt:variant>
      <vt:variant>
        <vt:i4>267</vt:i4>
      </vt:variant>
      <vt:variant>
        <vt:i4>0</vt:i4>
      </vt:variant>
      <vt:variant>
        <vt:i4>5</vt:i4>
      </vt:variant>
      <vt:variant>
        <vt:lpwstr>https://www.rcn.org.uk/professional-development/publications/pub-005704</vt:lpwstr>
      </vt:variant>
      <vt:variant>
        <vt:lpwstr/>
      </vt:variant>
      <vt:variant>
        <vt:i4>7209072</vt:i4>
      </vt:variant>
      <vt:variant>
        <vt:i4>264</vt:i4>
      </vt:variant>
      <vt:variant>
        <vt:i4>0</vt:i4>
      </vt:variant>
      <vt:variant>
        <vt:i4>5</vt:i4>
      </vt:variant>
      <vt:variant>
        <vt:lpwstr>https://www.rcn.org.uk/professional-development/publications/pub-005704</vt:lpwstr>
      </vt:variant>
      <vt:variant>
        <vt:lpwstr/>
      </vt:variant>
      <vt:variant>
        <vt:i4>7209072</vt:i4>
      </vt:variant>
      <vt:variant>
        <vt:i4>261</vt:i4>
      </vt:variant>
      <vt:variant>
        <vt:i4>0</vt:i4>
      </vt:variant>
      <vt:variant>
        <vt:i4>5</vt:i4>
      </vt:variant>
      <vt:variant>
        <vt:lpwstr>https://www.rcn.org.uk/professional-development/publications/pub-005704</vt:lpwstr>
      </vt:variant>
      <vt:variant>
        <vt:lpwstr/>
      </vt:variant>
      <vt:variant>
        <vt:i4>7209072</vt:i4>
      </vt:variant>
      <vt:variant>
        <vt:i4>258</vt:i4>
      </vt:variant>
      <vt:variant>
        <vt:i4>0</vt:i4>
      </vt:variant>
      <vt:variant>
        <vt:i4>5</vt:i4>
      </vt:variant>
      <vt:variant>
        <vt:lpwstr>https://www.rcn.org.uk/professional-development/publications/pub-005704</vt:lpwstr>
      </vt:variant>
      <vt:variant>
        <vt:lpwstr/>
      </vt:variant>
      <vt:variant>
        <vt:i4>7209072</vt:i4>
      </vt:variant>
      <vt:variant>
        <vt:i4>255</vt:i4>
      </vt:variant>
      <vt:variant>
        <vt:i4>0</vt:i4>
      </vt:variant>
      <vt:variant>
        <vt:i4>5</vt:i4>
      </vt:variant>
      <vt:variant>
        <vt:lpwstr>https://www.rcn.org.uk/professional-development/publications/pub-005704</vt:lpwstr>
      </vt:variant>
      <vt:variant>
        <vt:lpwstr/>
      </vt:variant>
      <vt:variant>
        <vt:i4>6488101</vt:i4>
      </vt:variant>
      <vt:variant>
        <vt:i4>252</vt:i4>
      </vt:variant>
      <vt:variant>
        <vt:i4>0</vt:i4>
      </vt:variant>
      <vt:variant>
        <vt:i4>5</vt:i4>
      </vt:variant>
      <vt:variant>
        <vt:lpwstr>https://www.nmc.org.uk/standards/code/</vt:lpwstr>
      </vt:variant>
      <vt:variant>
        <vt:lpwstr/>
      </vt:variant>
      <vt:variant>
        <vt:i4>6488101</vt:i4>
      </vt:variant>
      <vt:variant>
        <vt:i4>249</vt:i4>
      </vt:variant>
      <vt:variant>
        <vt:i4>0</vt:i4>
      </vt:variant>
      <vt:variant>
        <vt:i4>5</vt:i4>
      </vt:variant>
      <vt:variant>
        <vt:lpwstr>https://www.nmc.org.uk/standards/code/</vt:lpwstr>
      </vt:variant>
      <vt:variant>
        <vt:lpwstr/>
      </vt:variant>
      <vt:variant>
        <vt:i4>6488101</vt:i4>
      </vt:variant>
      <vt:variant>
        <vt:i4>246</vt:i4>
      </vt:variant>
      <vt:variant>
        <vt:i4>0</vt:i4>
      </vt:variant>
      <vt:variant>
        <vt:i4>5</vt:i4>
      </vt:variant>
      <vt:variant>
        <vt:lpwstr>https://www.nmc.org.uk/standards/code/</vt:lpwstr>
      </vt:variant>
      <vt:variant>
        <vt:lpwstr/>
      </vt:variant>
      <vt:variant>
        <vt:i4>524310</vt:i4>
      </vt:variant>
      <vt:variant>
        <vt:i4>243</vt:i4>
      </vt:variant>
      <vt:variant>
        <vt:i4>0</vt:i4>
      </vt:variant>
      <vt:variant>
        <vt:i4>5</vt:i4>
      </vt:variant>
      <vt:variant>
        <vt:lpwstr>https://www.nmc.org.uk/standards/standards-for-nurses/standards-of-proficiency-for-registered-nurses/</vt:lpwstr>
      </vt:variant>
      <vt:variant>
        <vt:lpwstr/>
      </vt:variant>
      <vt:variant>
        <vt:i4>7405672</vt:i4>
      </vt:variant>
      <vt:variant>
        <vt:i4>240</vt:i4>
      </vt:variant>
      <vt:variant>
        <vt:i4>0</vt:i4>
      </vt:variant>
      <vt:variant>
        <vt:i4>5</vt:i4>
      </vt:variant>
      <vt:variant>
        <vt:lpwstr>https://yellowcard.mhra.gov.uk/</vt:lpwstr>
      </vt:variant>
      <vt:variant>
        <vt:lpwstr/>
      </vt:variant>
      <vt:variant>
        <vt:i4>7405672</vt:i4>
      </vt:variant>
      <vt:variant>
        <vt:i4>237</vt:i4>
      </vt:variant>
      <vt:variant>
        <vt:i4>0</vt:i4>
      </vt:variant>
      <vt:variant>
        <vt:i4>5</vt:i4>
      </vt:variant>
      <vt:variant>
        <vt:lpwstr>https://yellowcard.mhra.gov.uk/</vt:lpwstr>
      </vt:variant>
      <vt:variant>
        <vt:lpwstr/>
      </vt:variant>
      <vt:variant>
        <vt:i4>5963892</vt:i4>
      </vt:variant>
      <vt:variant>
        <vt:i4>234</vt:i4>
      </vt:variant>
      <vt:variant>
        <vt:i4>0</vt:i4>
      </vt:variant>
      <vt:variant>
        <vt:i4>5</vt:i4>
      </vt:variant>
      <vt:variant>
        <vt:lpwstr>https://assets.publishing.service.gov.uk/government/uploads/system/uploads/attachment_data/file/660902/Green_book_cover_and_contents.pdf</vt:lpwstr>
      </vt:variant>
      <vt:variant>
        <vt:lpwstr/>
      </vt:variant>
      <vt:variant>
        <vt:i4>5963892</vt:i4>
      </vt:variant>
      <vt:variant>
        <vt:i4>231</vt:i4>
      </vt:variant>
      <vt:variant>
        <vt:i4>0</vt:i4>
      </vt:variant>
      <vt:variant>
        <vt:i4>5</vt:i4>
      </vt:variant>
      <vt:variant>
        <vt:lpwstr>https://assets.publishing.service.gov.uk/government/uploads/system/uploads/attachment_data/file/660902/Green_book_cover_and_contents.pdf</vt:lpwstr>
      </vt:variant>
      <vt:variant>
        <vt:lpwstr/>
      </vt:variant>
      <vt:variant>
        <vt:i4>5963892</vt:i4>
      </vt:variant>
      <vt:variant>
        <vt:i4>228</vt:i4>
      </vt:variant>
      <vt:variant>
        <vt:i4>0</vt:i4>
      </vt:variant>
      <vt:variant>
        <vt:i4>5</vt:i4>
      </vt:variant>
      <vt:variant>
        <vt:lpwstr>https://assets.publishing.service.gov.uk/government/uploads/system/uploads/attachment_data/file/660902/Green_book_cover_and_contents.pdf</vt:lpwstr>
      </vt:variant>
      <vt:variant>
        <vt:lpwstr/>
      </vt:variant>
      <vt:variant>
        <vt:i4>5963892</vt:i4>
      </vt:variant>
      <vt:variant>
        <vt:i4>225</vt:i4>
      </vt:variant>
      <vt:variant>
        <vt:i4>0</vt:i4>
      </vt:variant>
      <vt:variant>
        <vt:i4>5</vt:i4>
      </vt:variant>
      <vt:variant>
        <vt:lpwstr>https://assets.publishing.service.gov.uk/government/uploads/system/uploads/attachment_data/file/660902/Green_book_cover_and_contents.pdf</vt:lpwstr>
      </vt:variant>
      <vt:variant>
        <vt:lpwstr/>
      </vt:variant>
      <vt:variant>
        <vt:i4>5963892</vt:i4>
      </vt:variant>
      <vt:variant>
        <vt:i4>222</vt:i4>
      </vt:variant>
      <vt:variant>
        <vt:i4>0</vt:i4>
      </vt:variant>
      <vt:variant>
        <vt:i4>5</vt:i4>
      </vt:variant>
      <vt:variant>
        <vt:lpwstr>https://assets.publishing.service.gov.uk/government/uploads/system/uploads/attachment_data/file/660902/Green_book_cover_and_contents.pdf</vt:lpwstr>
      </vt:variant>
      <vt:variant>
        <vt:lpwstr/>
      </vt:variant>
      <vt:variant>
        <vt:i4>3866675</vt:i4>
      </vt:variant>
      <vt:variant>
        <vt:i4>219</vt:i4>
      </vt:variant>
      <vt:variant>
        <vt:i4>0</vt:i4>
      </vt:variant>
      <vt:variant>
        <vt:i4>5</vt:i4>
      </vt:variant>
      <vt:variant>
        <vt:lpwstr>http://www.clinicalskills.net/</vt:lpwstr>
      </vt:variant>
      <vt:variant>
        <vt:lpwstr/>
      </vt:variant>
      <vt:variant>
        <vt:i4>3866675</vt:i4>
      </vt:variant>
      <vt:variant>
        <vt:i4>216</vt:i4>
      </vt:variant>
      <vt:variant>
        <vt:i4>0</vt:i4>
      </vt:variant>
      <vt:variant>
        <vt:i4>5</vt:i4>
      </vt:variant>
      <vt:variant>
        <vt:lpwstr>http://www.clinicalskills.net/</vt:lpwstr>
      </vt:variant>
      <vt:variant>
        <vt:lpwstr/>
      </vt:variant>
      <vt:variant>
        <vt:i4>6225934</vt:i4>
      </vt:variant>
      <vt:variant>
        <vt:i4>213</vt:i4>
      </vt:variant>
      <vt:variant>
        <vt:i4>0</vt:i4>
      </vt:variant>
      <vt:variant>
        <vt:i4>5</vt:i4>
      </vt:variant>
      <vt:variant>
        <vt:lpwstr>https://www.rcpch.ac.uk/</vt:lpwstr>
      </vt:variant>
      <vt:variant>
        <vt:lpwstr/>
      </vt:variant>
      <vt:variant>
        <vt:i4>1507377</vt:i4>
      </vt:variant>
      <vt:variant>
        <vt:i4>206</vt:i4>
      </vt:variant>
      <vt:variant>
        <vt:i4>0</vt:i4>
      </vt:variant>
      <vt:variant>
        <vt:i4>5</vt:i4>
      </vt:variant>
      <vt:variant>
        <vt:lpwstr/>
      </vt:variant>
      <vt:variant>
        <vt:lpwstr>_Toc196832531</vt:lpwstr>
      </vt:variant>
      <vt:variant>
        <vt:i4>1507377</vt:i4>
      </vt:variant>
      <vt:variant>
        <vt:i4>200</vt:i4>
      </vt:variant>
      <vt:variant>
        <vt:i4>0</vt:i4>
      </vt:variant>
      <vt:variant>
        <vt:i4>5</vt:i4>
      </vt:variant>
      <vt:variant>
        <vt:lpwstr/>
      </vt:variant>
      <vt:variant>
        <vt:lpwstr>_Toc196832530</vt:lpwstr>
      </vt:variant>
      <vt:variant>
        <vt:i4>1441841</vt:i4>
      </vt:variant>
      <vt:variant>
        <vt:i4>194</vt:i4>
      </vt:variant>
      <vt:variant>
        <vt:i4>0</vt:i4>
      </vt:variant>
      <vt:variant>
        <vt:i4>5</vt:i4>
      </vt:variant>
      <vt:variant>
        <vt:lpwstr/>
      </vt:variant>
      <vt:variant>
        <vt:lpwstr>_Toc196832529</vt:lpwstr>
      </vt:variant>
      <vt:variant>
        <vt:i4>1441841</vt:i4>
      </vt:variant>
      <vt:variant>
        <vt:i4>188</vt:i4>
      </vt:variant>
      <vt:variant>
        <vt:i4>0</vt:i4>
      </vt:variant>
      <vt:variant>
        <vt:i4>5</vt:i4>
      </vt:variant>
      <vt:variant>
        <vt:lpwstr/>
      </vt:variant>
      <vt:variant>
        <vt:lpwstr>_Toc196832528</vt:lpwstr>
      </vt:variant>
      <vt:variant>
        <vt:i4>1441841</vt:i4>
      </vt:variant>
      <vt:variant>
        <vt:i4>182</vt:i4>
      </vt:variant>
      <vt:variant>
        <vt:i4>0</vt:i4>
      </vt:variant>
      <vt:variant>
        <vt:i4>5</vt:i4>
      </vt:variant>
      <vt:variant>
        <vt:lpwstr/>
      </vt:variant>
      <vt:variant>
        <vt:lpwstr>_Toc196832527</vt:lpwstr>
      </vt:variant>
      <vt:variant>
        <vt:i4>1441841</vt:i4>
      </vt:variant>
      <vt:variant>
        <vt:i4>176</vt:i4>
      </vt:variant>
      <vt:variant>
        <vt:i4>0</vt:i4>
      </vt:variant>
      <vt:variant>
        <vt:i4>5</vt:i4>
      </vt:variant>
      <vt:variant>
        <vt:lpwstr/>
      </vt:variant>
      <vt:variant>
        <vt:lpwstr>_Toc196832526</vt:lpwstr>
      </vt:variant>
      <vt:variant>
        <vt:i4>1441841</vt:i4>
      </vt:variant>
      <vt:variant>
        <vt:i4>170</vt:i4>
      </vt:variant>
      <vt:variant>
        <vt:i4>0</vt:i4>
      </vt:variant>
      <vt:variant>
        <vt:i4>5</vt:i4>
      </vt:variant>
      <vt:variant>
        <vt:lpwstr/>
      </vt:variant>
      <vt:variant>
        <vt:lpwstr>_Toc196832525</vt:lpwstr>
      </vt:variant>
      <vt:variant>
        <vt:i4>1441841</vt:i4>
      </vt:variant>
      <vt:variant>
        <vt:i4>164</vt:i4>
      </vt:variant>
      <vt:variant>
        <vt:i4>0</vt:i4>
      </vt:variant>
      <vt:variant>
        <vt:i4>5</vt:i4>
      </vt:variant>
      <vt:variant>
        <vt:lpwstr/>
      </vt:variant>
      <vt:variant>
        <vt:lpwstr>_Toc196832524</vt:lpwstr>
      </vt:variant>
      <vt:variant>
        <vt:i4>1441841</vt:i4>
      </vt:variant>
      <vt:variant>
        <vt:i4>158</vt:i4>
      </vt:variant>
      <vt:variant>
        <vt:i4>0</vt:i4>
      </vt:variant>
      <vt:variant>
        <vt:i4>5</vt:i4>
      </vt:variant>
      <vt:variant>
        <vt:lpwstr/>
      </vt:variant>
      <vt:variant>
        <vt:lpwstr>_Toc196832523</vt:lpwstr>
      </vt:variant>
      <vt:variant>
        <vt:i4>1441841</vt:i4>
      </vt:variant>
      <vt:variant>
        <vt:i4>152</vt:i4>
      </vt:variant>
      <vt:variant>
        <vt:i4>0</vt:i4>
      </vt:variant>
      <vt:variant>
        <vt:i4>5</vt:i4>
      </vt:variant>
      <vt:variant>
        <vt:lpwstr/>
      </vt:variant>
      <vt:variant>
        <vt:lpwstr>_Toc196832522</vt:lpwstr>
      </vt:variant>
      <vt:variant>
        <vt:i4>1441841</vt:i4>
      </vt:variant>
      <vt:variant>
        <vt:i4>146</vt:i4>
      </vt:variant>
      <vt:variant>
        <vt:i4>0</vt:i4>
      </vt:variant>
      <vt:variant>
        <vt:i4>5</vt:i4>
      </vt:variant>
      <vt:variant>
        <vt:lpwstr/>
      </vt:variant>
      <vt:variant>
        <vt:lpwstr>_Toc196832521</vt:lpwstr>
      </vt:variant>
      <vt:variant>
        <vt:i4>1441841</vt:i4>
      </vt:variant>
      <vt:variant>
        <vt:i4>140</vt:i4>
      </vt:variant>
      <vt:variant>
        <vt:i4>0</vt:i4>
      </vt:variant>
      <vt:variant>
        <vt:i4>5</vt:i4>
      </vt:variant>
      <vt:variant>
        <vt:lpwstr/>
      </vt:variant>
      <vt:variant>
        <vt:lpwstr>_Toc196832520</vt:lpwstr>
      </vt:variant>
      <vt:variant>
        <vt:i4>1376305</vt:i4>
      </vt:variant>
      <vt:variant>
        <vt:i4>134</vt:i4>
      </vt:variant>
      <vt:variant>
        <vt:i4>0</vt:i4>
      </vt:variant>
      <vt:variant>
        <vt:i4>5</vt:i4>
      </vt:variant>
      <vt:variant>
        <vt:lpwstr/>
      </vt:variant>
      <vt:variant>
        <vt:lpwstr>_Toc196832519</vt:lpwstr>
      </vt:variant>
      <vt:variant>
        <vt:i4>1376305</vt:i4>
      </vt:variant>
      <vt:variant>
        <vt:i4>128</vt:i4>
      </vt:variant>
      <vt:variant>
        <vt:i4>0</vt:i4>
      </vt:variant>
      <vt:variant>
        <vt:i4>5</vt:i4>
      </vt:variant>
      <vt:variant>
        <vt:lpwstr/>
      </vt:variant>
      <vt:variant>
        <vt:lpwstr>_Toc196832518</vt:lpwstr>
      </vt:variant>
      <vt:variant>
        <vt:i4>1376305</vt:i4>
      </vt:variant>
      <vt:variant>
        <vt:i4>122</vt:i4>
      </vt:variant>
      <vt:variant>
        <vt:i4>0</vt:i4>
      </vt:variant>
      <vt:variant>
        <vt:i4>5</vt:i4>
      </vt:variant>
      <vt:variant>
        <vt:lpwstr/>
      </vt:variant>
      <vt:variant>
        <vt:lpwstr>_Toc196832517</vt:lpwstr>
      </vt:variant>
      <vt:variant>
        <vt:i4>1376305</vt:i4>
      </vt:variant>
      <vt:variant>
        <vt:i4>116</vt:i4>
      </vt:variant>
      <vt:variant>
        <vt:i4>0</vt:i4>
      </vt:variant>
      <vt:variant>
        <vt:i4>5</vt:i4>
      </vt:variant>
      <vt:variant>
        <vt:lpwstr/>
      </vt:variant>
      <vt:variant>
        <vt:lpwstr>_Toc196832516</vt:lpwstr>
      </vt:variant>
      <vt:variant>
        <vt:i4>1376305</vt:i4>
      </vt:variant>
      <vt:variant>
        <vt:i4>110</vt:i4>
      </vt:variant>
      <vt:variant>
        <vt:i4>0</vt:i4>
      </vt:variant>
      <vt:variant>
        <vt:i4>5</vt:i4>
      </vt:variant>
      <vt:variant>
        <vt:lpwstr/>
      </vt:variant>
      <vt:variant>
        <vt:lpwstr>_Toc196832515</vt:lpwstr>
      </vt:variant>
      <vt:variant>
        <vt:i4>1376305</vt:i4>
      </vt:variant>
      <vt:variant>
        <vt:i4>104</vt:i4>
      </vt:variant>
      <vt:variant>
        <vt:i4>0</vt:i4>
      </vt:variant>
      <vt:variant>
        <vt:i4>5</vt:i4>
      </vt:variant>
      <vt:variant>
        <vt:lpwstr/>
      </vt:variant>
      <vt:variant>
        <vt:lpwstr>_Toc196832514</vt:lpwstr>
      </vt:variant>
      <vt:variant>
        <vt:i4>1376305</vt:i4>
      </vt:variant>
      <vt:variant>
        <vt:i4>98</vt:i4>
      </vt:variant>
      <vt:variant>
        <vt:i4>0</vt:i4>
      </vt:variant>
      <vt:variant>
        <vt:i4>5</vt:i4>
      </vt:variant>
      <vt:variant>
        <vt:lpwstr/>
      </vt:variant>
      <vt:variant>
        <vt:lpwstr>_Toc196832513</vt:lpwstr>
      </vt:variant>
      <vt:variant>
        <vt:i4>1376305</vt:i4>
      </vt:variant>
      <vt:variant>
        <vt:i4>92</vt:i4>
      </vt:variant>
      <vt:variant>
        <vt:i4>0</vt:i4>
      </vt:variant>
      <vt:variant>
        <vt:i4>5</vt:i4>
      </vt:variant>
      <vt:variant>
        <vt:lpwstr/>
      </vt:variant>
      <vt:variant>
        <vt:lpwstr>_Toc196832512</vt:lpwstr>
      </vt:variant>
      <vt:variant>
        <vt:i4>1376305</vt:i4>
      </vt:variant>
      <vt:variant>
        <vt:i4>86</vt:i4>
      </vt:variant>
      <vt:variant>
        <vt:i4>0</vt:i4>
      </vt:variant>
      <vt:variant>
        <vt:i4>5</vt:i4>
      </vt:variant>
      <vt:variant>
        <vt:lpwstr/>
      </vt:variant>
      <vt:variant>
        <vt:lpwstr>_Toc196832511</vt:lpwstr>
      </vt:variant>
      <vt:variant>
        <vt:i4>1376305</vt:i4>
      </vt:variant>
      <vt:variant>
        <vt:i4>80</vt:i4>
      </vt:variant>
      <vt:variant>
        <vt:i4>0</vt:i4>
      </vt:variant>
      <vt:variant>
        <vt:i4>5</vt:i4>
      </vt:variant>
      <vt:variant>
        <vt:lpwstr/>
      </vt:variant>
      <vt:variant>
        <vt:lpwstr>_Toc196832510</vt:lpwstr>
      </vt:variant>
      <vt:variant>
        <vt:i4>1310769</vt:i4>
      </vt:variant>
      <vt:variant>
        <vt:i4>74</vt:i4>
      </vt:variant>
      <vt:variant>
        <vt:i4>0</vt:i4>
      </vt:variant>
      <vt:variant>
        <vt:i4>5</vt:i4>
      </vt:variant>
      <vt:variant>
        <vt:lpwstr/>
      </vt:variant>
      <vt:variant>
        <vt:lpwstr>_Toc196832509</vt:lpwstr>
      </vt:variant>
      <vt:variant>
        <vt:i4>1310769</vt:i4>
      </vt:variant>
      <vt:variant>
        <vt:i4>68</vt:i4>
      </vt:variant>
      <vt:variant>
        <vt:i4>0</vt:i4>
      </vt:variant>
      <vt:variant>
        <vt:i4>5</vt:i4>
      </vt:variant>
      <vt:variant>
        <vt:lpwstr/>
      </vt:variant>
      <vt:variant>
        <vt:lpwstr>_Toc196832508</vt:lpwstr>
      </vt:variant>
      <vt:variant>
        <vt:i4>1310769</vt:i4>
      </vt:variant>
      <vt:variant>
        <vt:i4>62</vt:i4>
      </vt:variant>
      <vt:variant>
        <vt:i4>0</vt:i4>
      </vt:variant>
      <vt:variant>
        <vt:i4>5</vt:i4>
      </vt:variant>
      <vt:variant>
        <vt:lpwstr/>
      </vt:variant>
      <vt:variant>
        <vt:lpwstr>_Toc196832507</vt:lpwstr>
      </vt:variant>
      <vt:variant>
        <vt:i4>1310769</vt:i4>
      </vt:variant>
      <vt:variant>
        <vt:i4>56</vt:i4>
      </vt:variant>
      <vt:variant>
        <vt:i4>0</vt:i4>
      </vt:variant>
      <vt:variant>
        <vt:i4>5</vt:i4>
      </vt:variant>
      <vt:variant>
        <vt:lpwstr/>
      </vt:variant>
      <vt:variant>
        <vt:lpwstr>_Toc196832506</vt:lpwstr>
      </vt:variant>
      <vt:variant>
        <vt:i4>1310769</vt:i4>
      </vt:variant>
      <vt:variant>
        <vt:i4>50</vt:i4>
      </vt:variant>
      <vt:variant>
        <vt:i4>0</vt:i4>
      </vt:variant>
      <vt:variant>
        <vt:i4>5</vt:i4>
      </vt:variant>
      <vt:variant>
        <vt:lpwstr/>
      </vt:variant>
      <vt:variant>
        <vt:lpwstr>_Toc196832505</vt:lpwstr>
      </vt:variant>
      <vt:variant>
        <vt:i4>1310769</vt:i4>
      </vt:variant>
      <vt:variant>
        <vt:i4>44</vt:i4>
      </vt:variant>
      <vt:variant>
        <vt:i4>0</vt:i4>
      </vt:variant>
      <vt:variant>
        <vt:i4>5</vt:i4>
      </vt:variant>
      <vt:variant>
        <vt:lpwstr/>
      </vt:variant>
      <vt:variant>
        <vt:lpwstr>_Toc196832504</vt:lpwstr>
      </vt:variant>
      <vt:variant>
        <vt:i4>1310769</vt:i4>
      </vt:variant>
      <vt:variant>
        <vt:i4>38</vt:i4>
      </vt:variant>
      <vt:variant>
        <vt:i4>0</vt:i4>
      </vt:variant>
      <vt:variant>
        <vt:i4>5</vt:i4>
      </vt:variant>
      <vt:variant>
        <vt:lpwstr/>
      </vt:variant>
      <vt:variant>
        <vt:lpwstr>_Toc196832503</vt:lpwstr>
      </vt:variant>
      <vt:variant>
        <vt:i4>1310769</vt:i4>
      </vt:variant>
      <vt:variant>
        <vt:i4>32</vt:i4>
      </vt:variant>
      <vt:variant>
        <vt:i4>0</vt:i4>
      </vt:variant>
      <vt:variant>
        <vt:i4>5</vt:i4>
      </vt:variant>
      <vt:variant>
        <vt:lpwstr/>
      </vt:variant>
      <vt:variant>
        <vt:lpwstr>_Toc196832502</vt:lpwstr>
      </vt:variant>
      <vt:variant>
        <vt:i4>1310769</vt:i4>
      </vt:variant>
      <vt:variant>
        <vt:i4>26</vt:i4>
      </vt:variant>
      <vt:variant>
        <vt:i4>0</vt:i4>
      </vt:variant>
      <vt:variant>
        <vt:i4>5</vt:i4>
      </vt:variant>
      <vt:variant>
        <vt:lpwstr/>
      </vt:variant>
      <vt:variant>
        <vt:lpwstr>_Toc196832501</vt:lpwstr>
      </vt:variant>
      <vt:variant>
        <vt:i4>1310769</vt:i4>
      </vt:variant>
      <vt:variant>
        <vt:i4>20</vt:i4>
      </vt:variant>
      <vt:variant>
        <vt:i4>0</vt:i4>
      </vt:variant>
      <vt:variant>
        <vt:i4>5</vt:i4>
      </vt:variant>
      <vt:variant>
        <vt:lpwstr/>
      </vt:variant>
      <vt:variant>
        <vt:lpwstr>_Toc196832500</vt:lpwstr>
      </vt:variant>
      <vt:variant>
        <vt:i4>1900592</vt:i4>
      </vt:variant>
      <vt:variant>
        <vt:i4>14</vt:i4>
      </vt:variant>
      <vt:variant>
        <vt:i4>0</vt:i4>
      </vt:variant>
      <vt:variant>
        <vt:i4>5</vt:i4>
      </vt:variant>
      <vt:variant>
        <vt:lpwstr/>
      </vt:variant>
      <vt:variant>
        <vt:lpwstr>_Toc196832499</vt:lpwstr>
      </vt:variant>
      <vt:variant>
        <vt:i4>1900592</vt:i4>
      </vt:variant>
      <vt:variant>
        <vt:i4>8</vt:i4>
      </vt:variant>
      <vt:variant>
        <vt:i4>0</vt:i4>
      </vt:variant>
      <vt:variant>
        <vt:i4>5</vt:i4>
      </vt:variant>
      <vt:variant>
        <vt:lpwstr/>
      </vt:variant>
      <vt:variant>
        <vt:lpwstr>_Toc196832498</vt:lpwstr>
      </vt:variant>
      <vt:variant>
        <vt:i4>1900592</vt:i4>
      </vt:variant>
      <vt:variant>
        <vt:i4>2</vt:i4>
      </vt:variant>
      <vt:variant>
        <vt:i4>0</vt:i4>
      </vt:variant>
      <vt:variant>
        <vt:i4>5</vt:i4>
      </vt:variant>
      <vt:variant>
        <vt:lpwstr/>
      </vt:variant>
      <vt:variant>
        <vt:lpwstr>_Toc196832497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Morgan</dc:creator>
  <cp:keywords/>
  <dc:description/>
  <cp:lastModifiedBy>Elspeth Snowie</cp:lastModifiedBy>
  <cp:revision>3</cp:revision>
  <cp:lastPrinted>2020-01-22T19:58:00Z</cp:lastPrinted>
  <dcterms:created xsi:type="dcterms:W3CDTF">2025-07-04T13:43:00Z</dcterms:created>
  <dcterms:modified xsi:type="dcterms:W3CDTF">2025-07-04T13:43:00Z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424400</vt:r8>
  </property>
  <property fmtid="{D5CDD505-2E9C-101B-9397-08002B2CF9AE}" pid="4" name="MediaServiceImageTags">
    <vt:lpwstr/>
  </property>
  <property fmtid="{D5CDD505-2E9C-101B-9397-08002B2CF9AE}" pid="5" name="ResponsiblePerson">
    <vt:lpwstr>112;#i:0#.f|membership|elspeth.snowie@fnhc.org.je;#108;#i:0#.f|membership|rachel.foster@fnhc.org.je</vt:lpwstr>
  </property>
</Properties>
</file>