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777777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5AD53DF5" w:rsidR="00796F5C" w:rsidRDefault="00796F5C" w:rsidP="005351FA">
      <w:pPr>
        <w:rPr>
          <w:rFonts w:cs="Arial"/>
        </w:rPr>
      </w:pPr>
    </w:p>
    <w:p w14:paraId="41B6B5A6" w14:textId="19636C63" w:rsidR="00796F5C" w:rsidRDefault="00796F5C" w:rsidP="005351FA">
      <w:pPr>
        <w:rPr>
          <w:rFonts w:cs="Arial"/>
        </w:rPr>
      </w:pPr>
    </w:p>
    <w:p w14:paraId="1641C598" w14:textId="74461176" w:rsidR="00796F5C" w:rsidRDefault="00796F5C" w:rsidP="005351FA">
      <w:pPr>
        <w:rPr>
          <w:rFonts w:cs="Arial"/>
        </w:rPr>
      </w:pPr>
    </w:p>
    <w:p w14:paraId="3F18D361" w14:textId="3671FF4A" w:rsidR="00796F5C" w:rsidRDefault="00796F5C" w:rsidP="005351FA">
      <w:pPr>
        <w:rPr>
          <w:rFonts w:cs="Arial"/>
        </w:rPr>
      </w:pPr>
    </w:p>
    <w:p w14:paraId="4E5B858F" w14:textId="281FAA53" w:rsidR="00796F5C" w:rsidRDefault="00796F5C" w:rsidP="005351FA">
      <w:pPr>
        <w:rPr>
          <w:rFonts w:cs="Arial"/>
        </w:rPr>
      </w:pPr>
    </w:p>
    <w:p w14:paraId="61D5F0CA" w14:textId="77777777" w:rsidR="00796F5C" w:rsidRPr="00856DE7" w:rsidRDefault="00796F5C" w:rsidP="005351FA">
      <w:pPr>
        <w:rPr>
          <w:rFonts w:cs="Arial"/>
        </w:rPr>
      </w:pPr>
    </w:p>
    <w:p w14:paraId="2588C9F5" w14:textId="77777777" w:rsidR="005351FA" w:rsidRPr="00856DE7" w:rsidRDefault="005351F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2460C686">
                <wp:simplePos x="0" y="0"/>
                <wp:positionH relativeFrom="column">
                  <wp:posOffset>0</wp:posOffset>
                </wp:positionH>
                <wp:positionV relativeFrom="paragraph">
                  <wp:posOffset>153035</wp:posOffset>
                </wp:positionV>
                <wp:extent cx="5486400" cy="23876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87600"/>
                        </a:xfrm>
                        <a:prstGeom prst="rect">
                          <a:avLst/>
                        </a:prstGeom>
                        <a:solidFill>
                          <a:srgbClr val="FFFFFF"/>
                        </a:solidFill>
                        <a:ln w="9525">
                          <a:solidFill>
                            <a:srgbClr val="000000"/>
                          </a:solidFill>
                          <a:miter lim="800000"/>
                          <a:headEnd/>
                          <a:tailEnd/>
                        </a:ln>
                      </wps:spPr>
                      <wps:txbx>
                        <w:txbxContent>
                          <w:p w14:paraId="3B83117B" w14:textId="77777777" w:rsidR="005351FA" w:rsidRDefault="005351FA" w:rsidP="005351FA">
                            <w:pPr>
                              <w:jc w:val="center"/>
                              <w:rPr>
                                <w:rFonts w:cs="Arial"/>
                                <w:b/>
                                <w:sz w:val="40"/>
                                <w:szCs w:val="40"/>
                              </w:rPr>
                            </w:pPr>
                          </w:p>
                          <w:p w14:paraId="2E4276CD" w14:textId="082F9C11" w:rsidR="005351FA" w:rsidRDefault="008767FF" w:rsidP="005351FA">
                            <w:pPr>
                              <w:jc w:val="center"/>
                              <w:rPr>
                                <w:rFonts w:cs="Arial"/>
                                <w:b/>
                                <w:sz w:val="52"/>
                                <w:szCs w:val="52"/>
                              </w:rPr>
                            </w:pPr>
                            <w:r>
                              <w:rPr>
                                <w:rFonts w:cs="Arial"/>
                                <w:b/>
                                <w:sz w:val="52"/>
                                <w:szCs w:val="52"/>
                              </w:rPr>
                              <w:t xml:space="preserve">Fundraising </w:t>
                            </w:r>
                            <w:r w:rsidR="005351FA" w:rsidRPr="00C959EF">
                              <w:rPr>
                                <w:rFonts w:cs="Arial"/>
                                <w:b/>
                                <w:sz w:val="52"/>
                                <w:szCs w:val="52"/>
                              </w:rPr>
                              <w:t xml:space="preserve">Policy </w:t>
                            </w:r>
                          </w:p>
                          <w:p w14:paraId="46D4509E" w14:textId="77777777" w:rsidR="0048177D" w:rsidRDefault="0048177D" w:rsidP="005351FA">
                            <w:pPr>
                              <w:jc w:val="center"/>
                              <w:rPr>
                                <w:rFonts w:cs="Arial"/>
                                <w:b/>
                                <w:sz w:val="52"/>
                                <w:szCs w:val="52"/>
                              </w:rPr>
                            </w:pPr>
                          </w:p>
                          <w:p w14:paraId="5A259570" w14:textId="53075917" w:rsidR="0048177D" w:rsidRPr="0048177D" w:rsidRDefault="006E73A7" w:rsidP="005351FA">
                            <w:pPr>
                              <w:jc w:val="center"/>
                              <w:rPr>
                                <w:rFonts w:cs="Arial"/>
                                <w:b/>
                                <w:sz w:val="44"/>
                                <w:szCs w:val="52"/>
                              </w:rPr>
                            </w:pPr>
                            <w:r>
                              <w:rPr>
                                <w:rFonts w:cs="Arial"/>
                                <w:b/>
                                <w:sz w:val="44"/>
                                <w:szCs w:val="52"/>
                              </w:rPr>
                              <w:t>August</w:t>
                            </w:r>
                            <w:r w:rsidR="006F0109">
                              <w:rPr>
                                <w:rFonts w:cs="Arial"/>
                                <w:b/>
                                <w:sz w:val="44"/>
                                <w:szCs w:val="52"/>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2.05pt;width:6in;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ouFQ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">
                <v:textbox>
                  <w:txbxContent>
                    <w:p w14:paraId="3B83117B" w14:textId="77777777" w:rsidR="005351FA" w:rsidRDefault="005351FA" w:rsidP="005351FA">
                      <w:pPr>
                        <w:jc w:val="center"/>
                        <w:rPr>
                          <w:rFonts w:cs="Arial"/>
                          <w:b/>
                          <w:sz w:val="40"/>
                          <w:szCs w:val="40"/>
                        </w:rPr>
                      </w:pPr>
                    </w:p>
                    <w:p w14:paraId="2E4276CD" w14:textId="082F9C11" w:rsidR="005351FA" w:rsidRDefault="008767FF" w:rsidP="005351FA">
                      <w:pPr>
                        <w:jc w:val="center"/>
                        <w:rPr>
                          <w:rFonts w:cs="Arial"/>
                          <w:b/>
                          <w:sz w:val="52"/>
                          <w:szCs w:val="52"/>
                        </w:rPr>
                      </w:pPr>
                      <w:r>
                        <w:rPr>
                          <w:rFonts w:cs="Arial"/>
                          <w:b/>
                          <w:sz w:val="52"/>
                          <w:szCs w:val="52"/>
                        </w:rPr>
                        <w:t xml:space="preserve">Fundraising </w:t>
                      </w:r>
                      <w:r w:rsidR="005351FA" w:rsidRPr="00C959EF">
                        <w:rPr>
                          <w:rFonts w:cs="Arial"/>
                          <w:b/>
                          <w:sz w:val="52"/>
                          <w:szCs w:val="52"/>
                        </w:rPr>
                        <w:t xml:space="preserve">Policy </w:t>
                      </w:r>
                    </w:p>
                    <w:p w14:paraId="46D4509E" w14:textId="77777777" w:rsidR="0048177D" w:rsidRDefault="0048177D" w:rsidP="005351FA">
                      <w:pPr>
                        <w:jc w:val="center"/>
                        <w:rPr>
                          <w:rFonts w:cs="Arial"/>
                          <w:b/>
                          <w:sz w:val="52"/>
                          <w:szCs w:val="52"/>
                        </w:rPr>
                      </w:pPr>
                    </w:p>
                    <w:p w14:paraId="5A259570" w14:textId="53075917" w:rsidR="0048177D" w:rsidRPr="0048177D" w:rsidRDefault="006E73A7" w:rsidP="005351FA">
                      <w:pPr>
                        <w:jc w:val="center"/>
                        <w:rPr>
                          <w:rFonts w:cs="Arial"/>
                          <w:b/>
                          <w:sz w:val="44"/>
                          <w:szCs w:val="52"/>
                        </w:rPr>
                      </w:pPr>
                      <w:r>
                        <w:rPr>
                          <w:rFonts w:cs="Arial"/>
                          <w:b/>
                          <w:sz w:val="44"/>
                          <w:szCs w:val="52"/>
                        </w:rPr>
                        <w:t>August</w:t>
                      </w:r>
                      <w:r w:rsidR="006F0109">
                        <w:rPr>
                          <w:rFonts w:cs="Arial"/>
                          <w:b/>
                          <w:sz w:val="44"/>
                          <w:szCs w:val="52"/>
                        </w:rPr>
                        <w:t xml:space="preserve"> 2025</w:t>
                      </w:r>
                    </w:p>
                  </w:txbxContent>
                </v:textbox>
              </v:shape>
            </w:pict>
          </mc:Fallback>
        </mc:AlternateContent>
      </w: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007C66C9">
        <w:tc>
          <w:tcPr>
            <w:tcW w:w="2088" w:type="dxa"/>
            <w:shd w:val="clear" w:color="auto" w:fill="auto"/>
          </w:tcPr>
          <w:p w14:paraId="252E6DD5" w14:textId="77777777" w:rsidR="005351FA" w:rsidRPr="00856DE7" w:rsidRDefault="005351FA" w:rsidP="00615D2B">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shd w:val="clear" w:color="auto" w:fill="auto"/>
            <w:vAlign w:val="center"/>
          </w:tcPr>
          <w:p w14:paraId="01383E4D" w14:textId="77777777" w:rsidR="00101BBD" w:rsidRPr="00856DE7" w:rsidRDefault="00615D2B" w:rsidP="007C66C9">
            <w:pPr>
              <w:spacing w:before="60" w:after="60"/>
              <w:jc w:val="left"/>
              <w:rPr>
                <w:rFonts w:cs="Arial"/>
                <w:szCs w:val="22"/>
              </w:rPr>
            </w:pPr>
            <w:r>
              <w:rPr>
                <w:rFonts w:cs="Arial"/>
                <w:szCs w:val="22"/>
              </w:rPr>
              <w:t>Policy</w:t>
            </w:r>
          </w:p>
        </w:tc>
      </w:tr>
      <w:tr w:rsidR="005351FA" w:rsidRPr="00856DE7" w14:paraId="6A532B6F" w14:textId="77777777" w:rsidTr="007C66C9">
        <w:tc>
          <w:tcPr>
            <w:tcW w:w="2088" w:type="dxa"/>
            <w:shd w:val="clear" w:color="auto" w:fill="auto"/>
          </w:tcPr>
          <w:p w14:paraId="4B41A96C" w14:textId="77777777" w:rsidR="005351FA" w:rsidRPr="00856DE7" w:rsidRDefault="005351FA" w:rsidP="00615D2B">
            <w:pPr>
              <w:spacing w:before="60" w:after="60"/>
              <w:rPr>
                <w:rFonts w:cs="Arial"/>
                <w:b/>
                <w:szCs w:val="22"/>
              </w:rPr>
            </w:pPr>
            <w:r w:rsidRPr="00856DE7">
              <w:rPr>
                <w:rFonts w:cs="Arial"/>
                <w:b/>
                <w:szCs w:val="22"/>
              </w:rPr>
              <w:t>Title</w:t>
            </w:r>
          </w:p>
        </w:tc>
        <w:tc>
          <w:tcPr>
            <w:tcW w:w="6768" w:type="dxa"/>
            <w:gridSpan w:val="2"/>
            <w:shd w:val="clear" w:color="auto" w:fill="auto"/>
            <w:vAlign w:val="center"/>
          </w:tcPr>
          <w:p w14:paraId="310D67C8" w14:textId="067C23EB" w:rsidR="005351FA" w:rsidRPr="00856DE7" w:rsidRDefault="008767FF" w:rsidP="007C66C9">
            <w:pPr>
              <w:spacing w:before="60" w:after="60"/>
              <w:jc w:val="left"/>
              <w:rPr>
                <w:rFonts w:cs="Arial"/>
                <w:szCs w:val="22"/>
              </w:rPr>
            </w:pPr>
            <w:r>
              <w:rPr>
                <w:rFonts w:cs="Arial"/>
                <w:szCs w:val="22"/>
              </w:rPr>
              <w:t>Fundraising Policy</w:t>
            </w:r>
          </w:p>
        </w:tc>
      </w:tr>
      <w:tr w:rsidR="005351FA" w:rsidRPr="00856DE7" w14:paraId="7AAE2636" w14:textId="77777777" w:rsidTr="007C66C9">
        <w:tc>
          <w:tcPr>
            <w:tcW w:w="2088" w:type="dxa"/>
            <w:shd w:val="clear" w:color="auto" w:fill="auto"/>
          </w:tcPr>
          <w:p w14:paraId="13B641FB" w14:textId="77777777" w:rsidR="005351FA" w:rsidRPr="00856DE7" w:rsidRDefault="005351FA" w:rsidP="00615D2B">
            <w:pPr>
              <w:spacing w:before="60" w:after="60"/>
              <w:rPr>
                <w:rFonts w:cs="Arial"/>
                <w:b/>
                <w:szCs w:val="22"/>
              </w:rPr>
            </w:pPr>
            <w:r w:rsidRPr="00856DE7">
              <w:rPr>
                <w:rFonts w:cs="Arial"/>
                <w:b/>
                <w:szCs w:val="22"/>
              </w:rPr>
              <w:t>Author</w:t>
            </w:r>
          </w:p>
        </w:tc>
        <w:tc>
          <w:tcPr>
            <w:tcW w:w="6768" w:type="dxa"/>
            <w:gridSpan w:val="2"/>
            <w:shd w:val="clear" w:color="auto" w:fill="auto"/>
            <w:vAlign w:val="center"/>
          </w:tcPr>
          <w:p w14:paraId="520DE8F0" w14:textId="7A18F1D0" w:rsidR="00101BBD" w:rsidRPr="00856DE7" w:rsidRDefault="008767FF" w:rsidP="00A22098">
            <w:pPr>
              <w:spacing w:before="60" w:after="60"/>
              <w:jc w:val="left"/>
              <w:rPr>
                <w:rFonts w:cs="Arial"/>
                <w:szCs w:val="22"/>
              </w:rPr>
            </w:pPr>
            <w:r>
              <w:rPr>
                <w:rFonts w:cs="Arial"/>
                <w:szCs w:val="22"/>
              </w:rPr>
              <w:t>Mo de Gruchy, Communications Adviser, in collaboration with Fundraising</w:t>
            </w:r>
            <w:r w:rsidR="00A22098">
              <w:rPr>
                <w:rFonts w:cs="Arial"/>
                <w:szCs w:val="22"/>
              </w:rPr>
              <w:t xml:space="preserve"> Team</w:t>
            </w:r>
          </w:p>
        </w:tc>
      </w:tr>
      <w:tr w:rsidR="005351FA" w:rsidRPr="00856DE7" w14:paraId="0C097324" w14:textId="77777777" w:rsidTr="00DE0B38">
        <w:tc>
          <w:tcPr>
            <w:tcW w:w="6799" w:type="dxa"/>
            <w:gridSpan w:val="2"/>
            <w:shd w:val="clear" w:color="auto" w:fill="auto"/>
          </w:tcPr>
          <w:p w14:paraId="05FCDC75" w14:textId="77777777" w:rsidR="00615D2B" w:rsidRDefault="005351FA" w:rsidP="00615D2B">
            <w:pPr>
              <w:spacing w:before="60" w:after="60"/>
              <w:rPr>
                <w:rFonts w:cs="Arial"/>
                <w:b/>
                <w:szCs w:val="22"/>
              </w:rPr>
            </w:pPr>
            <w:r w:rsidRPr="00856DE7">
              <w:rPr>
                <w:rFonts w:cs="Arial"/>
                <w:b/>
                <w:szCs w:val="22"/>
              </w:rPr>
              <w:t>Category</w:t>
            </w:r>
          </w:p>
          <w:p w14:paraId="50A22B47" w14:textId="41DD24FA" w:rsidR="005351FA" w:rsidRPr="00856DE7" w:rsidRDefault="00C8393C" w:rsidP="00615D2B">
            <w:pPr>
              <w:spacing w:before="60" w:after="60"/>
              <w:rPr>
                <w:rFonts w:cs="Arial"/>
                <w:szCs w:val="22"/>
              </w:rPr>
            </w:pPr>
            <w:r>
              <w:rPr>
                <w:rFonts w:cs="Arial"/>
                <w:sz w:val="18"/>
                <w:szCs w:val="18"/>
              </w:rPr>
              <w:t>Clinical / Corporate / E</w:t>
            </w:r>
            <w:r w:rsidR="00942F86" w:rsidRPr="00856DE7">
              <w:rPr>
                <w:rFonts w:cs="Arial"/>
                <w:sz w:val="18"/>
                <w:szCs w:val="18"/>
              </w:rPr>
              <w:t>ducation / Health &amp; Safety / H</w:t>
            </w:r>
            <w:r w:rsidR="007C66C9">
              <w:rPr>
                <w:rFonts w:cs="Arial"/>
                <w:sz w:val="18"/>
                <w:szCs w:val="18"/>
              </w:rPr>
              <w:t xml:space="preserve">uman </w:t>
            </w:r>
            <w:r w:rsidR="00942F86" w:rsidRPr="00856DE7">
              <w:rPr>
                <w:rFonts w:cs="Arial"/>
                <w:sz w:val="18"/>
                <w:szCs w:val="18"/>
              </w:rPr>
              <w:t>R</w:t>
            </w:r>
            <w:r w:rsidR="007C66C9">
              <w:rPr>
                <w:rFonts w:cs="Arial"/>
                <w:sz w:val="18"/>
                <w:szCs w:val="18"/>
              </w:rPr>
              <w:t>esources</w:t>
            </w:r>
            <w:r w:rsidR="00942F86" w:rsidRPr="00856DE7">
              <w:rPr>
                <w:rFonts w:cs="Arial"/>
                <w:sz w:val="18"/>
                <w:szCs w:val="18"/>
              </w:rPr>
              <w:t xml:space="preserve"> / Info</w:t>
            </w:r>
            <w:r w:rsidR="00615D2B">
              <w:rPr>
                <w:rFonts w:cs="Arial"/>
                <w:sz w:val="18"/>
                <w:szCs w:val="18"/>
              </w:rPr>
              <w:t>rmation</w:t>
            </w:r>
            <w:r w:rsidR="00942F86" w:rsidRPr="00856DE7">
              <w:rPr>
                <w:rFonts w:cs="Arial"/>
                <w:sz w:val="18"/>
                <w:szCs w:val="18"/>
              </w:rPr>
              <w:t xml:space="preserve"> Governance</w:t>
            </w:r>
          </w:p>
        </w:tc>
        <w:tc>
          <w:tcPr>
            <w:tcW w:w="2057" w:type="dxa"/>
            <w:shd w:val="clear" w:color="auto" w:fill="auto"/>
            <w:vAlign w:val="center"/>
          </w:tcPr>
          <w:p w14:paraId="78631429" w14:textId="433B5208" w:rsidR="00101BBD" w:rsidRPr="00856DE7" w:rsidRDefault="008767FF" w:rsidP="00DE0B38">
            <w:pPr>
              <w:spacing w:before="60" w:after="60"/>
              <w:jc w:val="center"/>
              <w:rPr>
                <w:rFonts w:cs="Arial"/>
                <w:szCs w:val="22"/>
              </w:rPr>
            </w:pPr>
            <w:r>
              <w:rPr>
                <w:rFonts w:cs="Arial"/>
                <w:szCs w:val="22"/>
              </w:rPr>
              <w:t>Corporate</w:t>
            </w:r>
          </w:p>
        </w:tc>
      </w:tr>
      <w:tr w:rsidR="00615D2B" w:rsidRPr="00856DE7" w14:paraId="604B3626" w14:textId="77777777" w:rsidTr="00DE0B38">
        <w:tc>
          <w:tcPr>
            <w:tcW w:w="6799" w:type="dxa"/>
            <w:gridSpan w:val="2"/>
            <w:shd w:val="clear" w:color="auto" w:fill="auto"/>
          </w:tcPr>
          <w:p w14:paraId="6192E47F" w14:textId="77777777" w:rsidR="00615D2B" w:rsidRPr="00615D2B" w:rsidRDefault="00615D2B" w:rsidP="00615D2B">
            <w:pPr>
              <w:spacing w:before="60" w:after="60"/>
              <w:rPr>
                <w:rFonts w:cs="Arial"/>
                <w:b/>
                <w:szCs w:val="22"/>
              </w:rPr>
            </w:pPr>
            <w:r w:rsidRPr="00615D2B">
              <w:rPr>
                <w:rFonts w:cs="Arial"/>
                <w:b/>
                <w:szCs w:val="22"/>
              </w:rPr>
              <w:t>Date approved by Organisational Governance Approval Group</w:t>
            </w:r>
          </w:p>
        </w:tc>
        <w:tc>
          <w:tcPr>
            <w:tcW w:w="2057" w:type="dxa"/>
            <w:shd w:val="clear" w:color="auto" w:fill="auto"/>
            <w:vAlign w:val="center"/>
          </w:tcPr>
          <w:p w14:paraId="5B54D3B9" w14:textId="0384CFCA" w:rsidR="00615D2B" w:rsidRPr="00856DE7" w:rsidRDefault="00615D2B" w:rsidP="00DE0B38">
            <w:pPr>
              <w:spacing w:before="60" w:after="60"/>
              <w:jc w:val="center"/>
              <w:rPr>
                <w:rFonts w:cs="Arial"/>
                <w:szCs w:val="22"/>
              </w:rPr>
            </w:pPr>
          </w:p>
        </w:tc>
      </w:tr>
      <w:tr w:rsidR="00615D2B" w:rsidRPr="00856DE7" w14:paraId="3962734B" w14:textId="77777777" w:rsidTr="00DE0B38">
        <w:tc>
          <w:tcPr>
            <w:tcW w:w="6799" w:type="dxa"/>
            <w:gridSpan w:val="2"/>
            <w:shd w:val="clear" w:color="auto" w:fill="auto"/>
          </w:tcPr>
          <w:p w14:paraId="406936C2" w14:textId="77777777" w:rsidR="00615D2B" w:rsidRPr="00856DE7" w:rsidRDefault="00615D2B" w:rsidP="00615D2B">
            <w:pPr>
              <w:spacing w:before="60" w:after="60"/>
              <w:rPr>
                <w:rFonts w:cs="Arial"/>
                <w:b/>
                <w:szCs w:val="22"/>
              </w:rPr>
            </w:pPr>
            <w:r>
              <w:rPr>
                <w:rFonts w:cs="Arial"/>
                <w:b/>
                <w:szCs w:val="22"/>
              </w:rPr>
              <w:t>Date approved by Chief Executive Officer</w:t>
            </w:r>
          </w:p>
        </w:tc>
        <w:tc>
          <w:tcPr>
            <w:tcW w:w="2057" w:type="dxa"/>
            <w:shd w:val="clear" w:color="auto" w:fill="auto"/>
            <w:vAlign w:val="center"/>
          </w:tcPr>
          <w:p w14:paraId="1F6679FC" w14:textId="2F548CBD" w:rsidR="00615D2B" w:rsidRPr="00856DE7" w:rsidRDefault="006F26C9" w:rsidP="00DE0B38">
            <w:pPr>
              <w:spacing w:before="60" w:after="60"/>
              <w:jc w:val="center"/>
              <w:rPr>
                <w:rFonts w:cs="Arial"/>
                <w:szCs w:val="22"/>
              </w:rPr>
            </w:pPr>
            <w:r>
              <w:rPr>
                <w:rFonts w:cs="Arial"/>
                <w:szCs w:val="22"/>
              </w:rPr>
              <w:t>12/08/2025</w:t>
            </w:r>
          </w:p>
        </w:tc>
      </w:tr>
      <w:tr w:rsidR="00615D2B" w:rsidRPr="00856DE7" w14:paraId="6A5A6B62" w14:textId="77777777" w:rsidTr="001961E4">
        <w:tc>
          <w:tcPr>
            <w:tcW w:w="2088" w:type="dxa"/>
            <w:shd w:val="clear" w:color="auto" w:fill="auto"/>
          </w:tcPr>
          <w:p w14:paraId="10EDC74F" w14:textId="77777777" w:rsidR="00615D2B" w:rsidRPr="00856DE7" w:rsidRDefault="00615D2B" w:rsidP="00615D2B">
            <w:pPr>
              <w:spacing w:before="60" w:after="60"/>
              <w:rPr>
                <w:rFonts w:cs="Arial"/>
                <w:b/>
                <w:szCs w:val="22"/>
              </w:rPr>
            </w:pPr>
            <w:r w:rsidRPr="00856DE7">
              <w:rPr>
                <w:rFonts w:cs="Arial"/>
                <w:b/>
                <w:szCs w:val="22"/>
              </w:rPr>
              <w:t>Review date</w:t>
            </w:r>
          </w:p>
        </w:tc>
        <w:tc>
          <w:tcPr>
            <w:tcW w:w="6768" w:type="dxa"/>
            <w:gridSpan w:val="2"/>
            <w:shd w:val="clear" w:color="auto" w:fill="auto"/>
          </w:tcPr>
          <w:p w14:paraId="0D03EAFC" w14:textId="562D2974" w:rsidR="00615D2B" w:rsidRPr="00856DE7" w:rsidRDefault="008767FF" w:rsidP="00615D2B">
            <w:pPr>
              <w:spacing w:before="60" w:after="60"/>
              <w:rPr>
                <w:rFonts w:cs="Arial"/>
                <w:szCs w:val="22"/>
              </w:rPr>
            </w:pPr>
            <w:r w:rsidRPr="008767FF">
              <w:rPr>
                <w:rFonts w:cs="Arial"/>
                <w:szCs w:val="22"/>
              </w:rPr>
              <w:t xml:space="preserve">3 </w:t>
            </w:r>
            <w:r w:rsidR="00615D2B" w:rsidRPr="008767FF">
              <w:rPr>
                <w:rFonts w:cs="Arial"/>
                <w:szCs w:val="22"/>
              </w:rPr>
              <w:t>years from approval</w:t>
            </w:r>
          </w:p>
        </w:tc>
      </w:tr>
      <w:tr w:rsidR="00615D2B" w:rsidRPr="00856DE7" w14:paraId="482F43D0" w14:textId="77777777" w:rsidTr="001961E4">
        <w:tc>
          <w:tcPr>
            <w:tcW w:w="2088" w:type="dxa"/>
            <w:shd w:val="clear" w:color="auto" w:fill="auto"/>
          </w:tcPr>
          <w:p w14:paraId="29D68464" w14:textId="77777777" w:rsidR="00615D2B" w:rsidRPr="00856DE7" w:rsidRDefault="00615D2B" w:rsidP="00615D2B">
            <w:pPr>
              <w:spacing w:before="60" w:after="60"/>
              <w:rPr>
                <w:rFonts w:cs="Arial"/>
                <w:szCs w:val="22"/>
              </w:rPr>
            </w:pPr>
            <w:r w:rsidRPr="00856DE7">
              <w:rPr>
                <w:rFonts w:cs="Arial"/>
                <w:b/>
                <w:szCs w:val="23"/>
              </w:rPr>
              <w:t>Document Status</w:t>
            </w:r>
          </w:p>
        </w:tc>
        <w:tc>
          <w:tcPr>
            <w:tcW w:w="6768" w:type="dxa"/>
            <w:gridSpan w:val="2"/>
            <w:shd w:val="clear" w:color="auto" w:fill="auto"/>
          </w:tcPr>
          <w:p w14:paraId="25A1B87C" w14:textId="5DB70E0E" w:rsidR="00615D2B" w:rsidRPr="00856DE7" w:rsidRDefault="00615D2B" w:rsidP="00615D2B">
            <w:pPr>
              <w:spacing w:before="60" w:after="60"/>
              <w:rPr>
                <w:rFonts w:cs="Arial"/>
                <w:szCs w:val="22"/>
              </w:rPr>
            </w:pPr>
            <w:r w:rsidRPr="00856DE7">
              <w:rPr>
                <w:rFonts w:cs="Arial"/>
                <w:szCs w:val="23"/>
              </w:rPr>
              <w:t xml:space="preserve">This is a controlled document. </w:t>
            </w:r>
            <w:r w:rsidR="00E20B52">
              <w:rPr>
                <w:rFonts w:cs="Arial"/>
                <w:szCs w:val="23"/>
              </w:rPr>
              <w:t xml:space="preserve"> </w:t>
            </w:r>
            <w:r w:rsidRPr="00856DE7">
              <w:rPr>
                <w:rFonts w:cs="Arial"/>
                <w:szCs w:val="23"/>
              </w:rPr>
              <w:t xml:space="preserve">Whilst this document may be printed, the electronic version posted on the intranet is the controlled copy. </w:t>
            </w:r>
            <w:proofErr w:type="gramStart"/>
            <w:r w:rsidRPr="00856DE7">
              <w:rPr>
                <w:rFonts w:cs="Arial"/>
                <w:szCs w:val="23"/>
              </w:rPr>
              <w:t>Any</w:t>
            </w:r>
            <w:proofErr w:type="gramEnd"/>
            <w:r w:rsidRPr="00856DE7">
              <w:rPr>
                <w:rFonts w:cs="Arial"/>
                <w:szCs w:val="23"/>
              </w:rPr>
              <w:t xml:space="preserve"> printed copies of this document </w:t>
            </w:r>
            <w:proofErr w:type="gramStart"/>
            <w:r w:rsidRPr="00856DE7">
              <w:rPr>
                <w:rFonts w:cs="Arial"/>
                <w:szCs w:val="23"/>
              </w:rPr>
              <w:t>are not</w:t>
            </w:r>
            <w:proofErr w:type="gramEnd"/>
            <w:r w:rsidRPr="00856DE7">
              <w:rPr>
                <w:rFonts w:cs="Arial"/>
                <w:szCs w:val="23"/>
              </w:rPr>
              <w:t xml:space="preserve"> </w:t>
            </w:r>
            <w:proofErr w:type="gramStart"/>
            <w:r w:rsidRPr="00856DE7">
              <w:rPr>
                <w:rFonts w:cs="Arial"/>
                <w:szCs w:val="23"/>
              </w:rPr>
              <w:t>controlled</w:t>
            </w:r>
            <w:proofErr w:type="gramEnd"/>
            <w:r w:rsidRPr="00856DE7">
              <w:rPr>
                <w:rFonts w:cs="Arial"/>
                <w:szCs w:val="23"/>
              </w:rPr>
              <w:t>.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229"/>
        <w:gridCol w:w="1034"/>
        <w:gridCol w:w="4962"/>
        <w:gridCol w:w="1559"/>
      </w:tblGrid>
      <w:tr w:rsidR="00A40293" w:rsidRPr="00856DE7" w14:paraId="23A59E15" w14:textId="77777777" w:rsidTr="006F0109">
        <w:tc>
          <w:tcPr>
            <w:tcW w:w="1229" w:type="dxa"/>
            <w:shd w:val="clear" w:color="auto" w:fill="BFBFBF" w:themeFill="background1" w:themeFillShade="BF"/>
            <w:vAlign w:val="center"/>
          </w:tcPr>
          <w:p w14:paraId="135ED697" w14:textId="77777777" w:rsidR="00A40293" w:rsidRPr="00A33A94" w:rsidRDefault="00A40293" w:rsidP="007C66C9">
            <w:pPr>
              <w:spacing w:before="60" w:after="60"/>
              <w:jc w:val="center"/>
              <w:rPr>
                <w:rFonts w:cs="Arial"/>
                <w:b/>
              </w:rPr>
            </w:pPr>
            <w:r w:rsidRPr="00A33A94">
              <w:rPr>
                <w:rFonts w:cs="Arial"/>
                <w:b/>
              </w:rPr>
              <w:t>Date</w:t>
            </w:r>
          </w:p>
        </w:tc>
        <w:tc>
          <w:tcPr>
            <w:tcW w:w="1034" w:type="dxa"/>
            <w:shd w:val="clear" w:color="auto" w:fill="BFBFBF" w:themeFill="background1" w:themeFillShade="BF"/>
            <w:vAlign w:val="center"/>
          </w:tcPr>
          <w:p w14:paraId="385B1DB9" w14:textId="7C7C4606" w:rsidR="00A40293" w:rsidRPr="00A33A94" w:rsidRDefault="00A40293" w:rsidP="007C66C9">
            <w:pPr>
              <w:spacing w:before="60" w:after="60"/>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7C66C9">
            <w:pPr>
              <w:spacing w:before="60" w:after="60"/>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7C66C9">
            <w:pPr>
              <w:spacing w:before="60" w:after="60"/>
              <w:jc w:val="center"/>
              <w:rPr>
                <w:rFonts w:cs="Arial"/>
                <w:b/>
              </w:rPr>
            </w:pPr>
            <w:r w:rsidRPr="00A33A94">
              <w:rPr>
                <w:rFonts w:cs="Arial"/>
                <w:b/>
              </w:rPr>
              <w:t>Author</w:t>
            </w:r>
          </w:p>
        </w:tc>
      </w:tr>
      <w:tr w:rsidR="00A40293" w:rsidRPr="00856DE7" w14:paraId="58815506" w14:textId="77777777" w:rsidTr="006F0109">
        <w:tc>
          <w:tcPr>
            <w:tcW w:w="1229" w:type="dxa"/>
            <w:vAlign w:val="center"/>
          </w:tcPr>
          <w:p w14:paraId="23AE592F" w14:textId="4A038B12" w:rsidR="00A40293" w:rsidRPr="00856DE7" w:rsidRDefault="006E73A7" w:rsidP="00615D2B">
            <w:pPr>
              <w:spacing w:before="60" w:after="60"/>
              <w:jc w:val="center"/>
              <w:rPr>
                <w:rFonts w:cs="Arial"/>
              </w:rPr>
            </w:pPr>
            <w:r>
              <w:rPr>
                <w:rFonts w:cs="Arial"/>
              </w:rPr>
              <w:t>6</w:t>
            </w:r>
            <w:r w:rsidRPr="006E73A7">
              <w:rPr>
                <w:rFonts w:cs="Arial"/>
                <w:vertAlign w:val="superscript"/>
              </w:rPr>
              <w:t>th</w:t>
            </w:r>
            <w:r>
              <w:rPr>
                <w:rFonts w:cs="Arial"/>
              </w:rPr>
              <w:t xml:space="preserve"> August</w:t>
            </w:r>
            <w:r w:rsidR="006F0109">
              <w:rPr>
                <w:rFonts w:cs="Arial"/>
              </w:rPr>
              <w:t xml:space="preserve"> 2025</w:t>
            </w:r>
          </w:p>
        </w:tc>
        <w:tc>
          <w:tcPr>
            <w:tcW w:w="1034" w:type="dxa"/>
            <w:vAlign w:val="center"/>
          </w:tcPr>
          <w:p w14:paraId="72A01379" w14:textId="2ED8A380" w:rsidR="00A40293" w:rsidRPr="00856DE7" w:rsidRDefault="008767FF" w:rsidP="00615D2B">
            <w:pPr>
              <w:spacing w:before="60" w:after="60"/>
              <w:jc w:val="center"/>
              <w:rPr>
                <w:rFonts w:cs="Arial"/>
              </w:rPr>
            </w:pPr>
            <w:r>
              <w:rPr>
                <w:rFonts w:cs="Arial"/>
              </w:rPr>
              <w:t>1</w:t>
            </w:r>
          </w:p>
        </w:tc>
        <w:tc>
          <w:tcPr>
            <w:tcW w:w="4962" w:type="dxa"/>
          </w:tcPr>
          <w:p w14:paraId="0217FA07" w14:textId="19F8EC4A" w:rsidR="00A40293" w:rsidRPr="00856DE7" w:rsidRDefault="008767FF" w:rsidP="00615D2B">
            <w:pPr>
              <w:spacing w:before="60" w:after="60"/>
              <w:rPr>
                <w:rFonts w:cs="Arial"/>
              </w:rPr>
            </w:pPr>
            <w:r>
              <w:rPr>
                <w:rFonts w:cs="Arial"/>
              </w:rPr>
              <w:t>New policy</w:t>
            </w:r>
          </w:p>
        </w:tc>
        <w:tc>
          <w:tcPr>
            <w:tcW w:w="1559" w:type="dxa"/>
          </w:tcPr>
          <w:p w14:paraId="6CDF95C3" w14:textId="2DF3D911" w:rsidR="00A40293" w:rsidRPr="00856DE7" w:rsidRDefault="008767FF" w:rsidP="008767FF">
            <w:pPr>
              <w:spacing w:before="60" w:after="60" w:line="240" w:lineRule="auto"/>
              <w:jc w:val="left"/>
              <w:rPr>
                <w:rFonts w:cs="Arial"/>
              </w:rPr>
            </w:pPr>
            <w:r>
              <w:rPr>
                <w:rFonts w:cs="Arial"/>
              </w:rPr>
              <w:t>Mo de Gruchy</w:t>
            </w:r>
          </w:p>
        </w:tc>
      </w:tr>
      <w:tr w:rsidR="00A40293" w:rsidRPr="00856DE7" w14:paraId="2D02D3E4" w14:textId="77777777" w:rsidTr="006F0109">
        <w:tc>
          <w:tcPr>
            <w:tcW w:w="1229" w:type="dxa"/>
            <w:vAlign w:val="center"/>
          </w:tcPr>
          <w:p w14:paraId="74A7A968" w14:textId="77777777" w:rsidR="00A40293" w:rsidRPr="00856DE7" w:rsidRDefault="00A40293" w:rsidP="00615D2B">
            <w:pPr>
              <w:spacing w:before="60" w:after="60"/>
              <w:jc w:val="center"/>
              <w:rPr>
                <w:rFonts w:cs="Arial"/>
              </w:rPr>
            </w:pPr>
          </w:p>
        </w:tc>
        <w:tc>
          <w:tcPr>
            <w:tcW w:w="1034" w:type="dxa"/>
            <w:vAlign w:val="center"/>
          </w:tcPr>
          <w:p w14:paraId="5F1B0001" w14:textId="77777777" w:rsidR="00A40293" w:rsidRPr="00856DE7" w:rsidRDefault="00A40293" w:rsidP="00615D2B">
            <w:pPr>
              <w:spacing w:before="60" w:after="60"/>
              <w:jc w:val="center"/>
              <w:rPr>
                <w:rFonts w:cs="Arial"/>
              </w:rPr>
            </w:pPr>
          </w:p>
        </w:tc>
        <w:tc>
          <w:tcPr>
            <w:tcW w:w="4962" w:type="dxa"/>
          </w:tcPr>
          <w:p w14:paraId="29DBFEB5" w14:textId="77777777" w:rsidR="00A40293" w:rsidRPr="00856DE7" w:rsidRDefault="00A40293" w:rsidP="00615D2B">
            <w:pPr>
              <w:spacing w:before="60" w:after="60"/>
              <w:rPr>
                <w:rFonts w:cs="Arial"/>
              </w:rPr>
            </w:pPr>
          </w:p>
        </w:tc>
        <w:tc>
          <w:tcPr>
            <w:tcW w:w="1559" w:type="dxa"/>
          </w:tcPr>
          <w:p w14:paraId="77C71F25" w14:textId="77777777" w:rsidR="00A40293" w:rsidRPr="00856DE7" w:rsidRDefault="00A40293" w:rsidP="00615D2B">
            <w:pPr>
              <w:spacing w:before="60" w:after="60"/>
              <w:rPr>
                <w:rFonts w:cs="Arial"/>
              </w:rPr>
            </w:pPr>
          </w:p>
        </w:tc>
      </w:tr>
      <w:tr w:rsidR="00A40293" w:rsidRPr="00856DE7" w14:paraId="44739294" w14:textId="77777777" w:rsidTr="006F0109">
        <w:tc>
          <w:tcPr>
            <w:tcW w:w="1229" w:type="dxa"/>
            <w:vAlign w:val="center"/>
          </w:tcPr>
          <w:p w14:paraId="608798A2" w14:textId="77777777" w:rsidR="00A40293" w:rsidRPr="00856DE7" w:rsidRDefault="00A40293" w:rsidP="00615D2B">
            <w:pPr>
              <w:spacing w:before="60" w:after="60"/>
              <w:jc w:val="center"/>
              <w:rPr>
                <w:rFonts w:cs="Arial"/>
              </w:rPr>
            </w:pPr>
          </w:p>
        </w:tc>
        <w:tc>
          <w:tcPr>
            <w:tcW w:w="1034" w:type="dxa"/>
            <w:vAlign w:val="center"/>
          </w:tcPr>
          <w:p w14:paraId="4CF771A4" w14:textId="77777777" w:rsidR="00A40293" w:rsidRPr="00856DE7" w:rsidRDefault="00A40293" w:rsidP="00615D2B">
            <w:pPr>
              <w:spacing w:before="60" w:after="60"/>
              <w:jc w:val="center"/>
              <w:rPr>
                <w:rFonts w:cs="Arial"/>
              </w:rPr>
            </w:pPr>
          </w:p>
        </w:tc>
        <w:tc>
          <w:tcPr>
            <w:tcW w:w="4962" w:type="dxa"/>
          </w:tcPr>
          <w:p w14:paraId="4BCF84E8" w14:textId="77777777" w:rsidR="00A40293" w:rsidRPr="00856DE7" w:rsidRDefault="00A40293" w:rsidP="00615D2B">
            <w:pPr>
              <w:spacing w:before="60" w:after="60"/>
              <w:rPr>
                <w:rFonts w:cs="Arial"/>
              </w:rPr>
            </w:pPr>
          </w:p>
        </w:tc>
        <w:tc>
          <w:tcPr>
            <w:tcW w:w="1559" w:type="dxa"/>
          </w:tcPr>
          <w:p w14:paraId="732A9A6F" w14:textId="77777777" w:rsidR="00A40293" w:rsidRPr="00856DE7" w:rsidRDefault="00A40293" w:rsidP="00615D2B">
            <w:pPr>
              <w:spacing w:before="60" w:after="60"/>
              <w:rPr>
                <w:rFonts w:cs="Arial"/>
              </w:rPr>
            </w:pPr>
          </w:p>
        </w:tc>
      </w:tr>
    </w:tbl>
    <w:p w14:paraId="20CB1428" w14:textId="77777777" w:rsidR="005351FA" w:rsidRPr="00856DE7" w:rsidRDefault="005351FA" w:rsidP="005351FA">
      <w:pPr>
        <w:rPr>
          <w:rFonts w:cs="Arial"/>
        </w:rPr>
      </w:pPr>
    </w:p>
    <w:p w14:paraId="0D272EA5" w14:textId="77777777" w:rsidR="008767FF" w:rsidRPr="008767FF" w:rsidRDefault="008767FF" w:rsidP="008767FF">
      <w:pPr>
        <w:spacing w:before="0" w:line="240" w:lineRule="auto"/>
        <w:jc w:val="left"/>
        <w:rPr>
          <w:rFonts w:eastAsiaTheme="minorHAnsi" w:cs="Arial"/>
          <w:szCs w:val="22"/>
          <w:lang w:val="en-GB"/>
        </w:rPr>
      </w:pPr>
      <w:r w:rsidRPr="008767FF">
        <w:rPr>
          <w:rFonts w:eastAsiaTheme="minorHAnsi" w:cs="Arial"/>
          <w:szCs w:val="22"/>
          <w:lang w:val="en-GB"/>
        </w:rPr>
        <w:t>This policy has been adapted for local use from the Age UK Sutton Fundraising Policy (2018).</w:t>
      </w:r>
    </w:p>
    <w:p w14:paraId="5043DEDB" w14:textId="77777777" w:rsidR="005351FA" w:rsidRPr="00856DE7" w:rsidRDefault="005351FA" w:rsidP="005351FA">
      <w:pPr>
        <w:rPr>
          <w:rFonts w:cs="Arial"/>
        </w:rPr>
      </w:pPr>
    </w:p>
    <w:p w14:paraId="56C95285" w14:textId="77777777" w:rsidR="005351FA" w:rsidRPr="00856DE7" w:rsidRDefault="005351FA" w:rsidP="005351FA">
      <w:pPr>
        <w:rPr>
          <w:rFonts w:cs="Arial"/>
        </w:rPr>
      </w:pPr>
    </w:p>
    <w:p w14:paraId="046FA5CA" w14:textId="77777777" w:rsidR="00856DE7" w:rsidRDefault="00856DE7" w:rsidP="005351FA">
      <w:pPr>
        <w:rPr>
          <w:rFonts w:cs="Arial"/>
        </w:rPr>
        <w:sectPr w:rsidR="00856DE7" w:rsidSect="002006AD">
          <w:headerReference w:type="even" r:id="rId18"/>
          <w:headerReference w:type="default" r:id="rId19"/>
          <w:headerReference w:type="first" r:id="rId20"/>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56286779" w14:textId="65DC9A74" w:rsidR="007C3D63" w:rsidRDefault="00790710">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204681794" w:history="1">
            <w:r w:rsidR="007C3D63" w:rsidRPr="00C630EE">
              <w:rPr>
                <w:rStyle w:val="Hyperlink"/>
                <w:noProof/>
              </w:rPr>
              <w:t>1</w:t>
            </w:r>
            <w:r w:rsidR="007C3D63">
              <w:rPr>
                <w:rFonts w:asciiTheme="minorHAnsi" w:eastAsiaTheme="minorEastAsia" w:hAnsiTheme="minorHAnsi" w:cstheme="minorBidi"/>
                <w:noProof/>
                <w:kern w:val="2"/>
                <w:sz w:val="24"/>
                <w:lang w:val="en-GB" w:eastAsia="en-GB"/>
                <w14:ligatures w14:val="standardContextual"/>
              </w:rPr>
              <w:tab/>
            </w:r>
            <w:r w:rsidR="007C3D63" w:rsidRPr="00C630EE">
              <w:rPr>
                <w:rStyle w:val="Hyperlink"/>
                <w:noProof/>
              </w:rPr>
              <w:t>INTRODUCTION</w:t>
            </w:r>
            <w:r w:rsidR="007C3D63">
              <w:rPr>
                <w:noProof/>
                <w:webHidden/>
              </w:rPr>
              <w:tab/>
            </w:r>
            <w:r w:rsidR="007C3D63">
              <w:rPr>
                <w:noProof/>
                <w:webHidden/>
              </w:rPr>
              <w:fldChar w:fldCharType="begin"/>
            </w:r>
            <w:r w:rsidR="007C3D63">
              <w:rPr>
                <w:noProof/>
                <w:webHidden/>
              </w:rPr>
              <w:instrText xml:space="preserve"> PAGEREF _Toc204681794 \h </w:instrText>
            </w:r>
            <w:r w:rsidR="007C3D63">
              <w:rPr>
                <w:noProof/>
                <w:webHidden/>
              </w:rPr>
            </w:r>
            <w:r w:rsidR="007C3D63">
              <w:rPr>
                <w:noProof/>
                <w:webHidden/>
              </w:rPr>
              <w:fldChar w:fldCharType="separate"/>
            </w:r>
            <w:r w:rsidR="007C3D63">
              <w:rPr>
                <w:noProof/>
                <w:webHidden/>
              </w:rPr>
              <w:t>1</w:t>
            </w:r>
            <w:r w:rsidR="007C3D63">
              <w:rPr>
                <w:noProof/>
                <w:webHidden/>
              </w:rPr>
              <w:fldChar w:fldCharType="end"/>
            </w:r>
          </w:hyperlink>
        </w:p>
        <w:p w14:paraId="671680A5" w14:textId="317D54D9"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795" w:history="1">
            <w:r w:rsidRPr="00C630EE">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Rationale</w:t>
            </w:r>
            <w:r>
              <w:rPr>
                <w:noProof/>
                <w:webHidden/>
              </w:rPr>
              <w:tab/>
            </w:r>
            <w:r>
              <w:rPr>
                <w:noProof/>
                <w:webHidden/>
              </w:rPr>
              <w:fldChar w:fldCharType="begin"/>
            </w:r>
            <w:r>
              <w:rPr>
                <w:noProof/>
                <w:webHidden/>
              </w:rPr>
              <w:instrText xml:space="preserve"> PAGEREF _Toc204681795 \h </w:instrText>
            </w:r>
            <w:r>
              <w:rPr>
                <w:noProof/>
                <w:webHidden/>
              </w:rPr>
            </w:r>
            <w:r>
              <w:rPr>
                <w:noProof/>
                <w:webHidden/>
              </w:rPr>
              <w:fldChar w:fldCharType="separate"/>
            </w:r>
            <w:r>
              <w:rPr>
                <w:noProof/>
                <w:webHidden/>
              </w:rPr>
              <w:t>1</w:t>
            </w:r>
            <w:r>
              <w:rPr>
                <w:noProof/>
                <w:webHidden/>
              </w:rPr>
              <w:fldChar w:fldCharType="end"/>
            </w:r>
          </w:hyperlink>
        </w:p>
        <w:p w14:paraId="65522529" w14:textId="4063474F"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796" w:history="1">
            <w:r w:rsidRPr="00C630EE">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Scope</w:t>
            </w:r>
            <w:r>
              <w:rPr>
                <w:noProof/>
                <w:webHidden/>
              </w:rPr>
              <w:tab/>
            </w:r>
            <w:r>
              <w:rPr>
                <w:noProof/>
                <w:webHidden/>
              </w:rPr>
              <w:fldChar w:fldCharType="begin"/>
            </w:r>
            <w:r>
              <w:rPr>
                <w:noProof/>
                <w:webHidden/>
              </w:rPr>
              <w:instrText xml:space="preserve"> PAGEREF _Toc204681796 \h </w:instrText>
            </w:r>
            <w:r>
              <w:rPr>
                <w:noProof/>
                <w:webHidden/>
              </w:rPr>
            </w:r>
            <w:r>
              <w:rPr>
                <w:noProof/>
                <w:webHidden/>
              </w:rPr>
              <w:fldChar w:fldCharType="separate"/>
            </w:r>
            <w:r>
              <w:rPr>
                <w:noProof/>
                <w:webHidden/>
              </w:rPr>
              <w:t>1</w:t>
            </w:r>
            <w:r>
              <w:rPr>
                <w:noProof/>
                <w:webHidden/>
              </w:rPr>
              <w:fldChar w:fldCharType="end"/>
            </w:r>
          </w:hyperlink>
        </w:p>
        <w:p w14:paraId="1B689354" w14:textId="7063459F"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797" w:history="1">
            <w:r w:rsidRPr="00C630EE">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Role and Responsibilities</w:t>
            </w:r>
            <w:r>
              <w:rPr>
                <w:noProof/>
                <w:webHidden/>
              </w:rPr>
              <w:tab/>
            </w:r>
            <w:r>
              <w:rPr>
                <w:noProof/>
                <w:webHidden/>
              </w:rPr>
              <w:fldChar w:fldCharType="begin"/>
            </w:r>
            <w:r>
              <w:rPr>
                <w:noProof/>
                <w:webHidden/>
              </w:rPr>
              <w:instrText xml:space="preserve"> PAGEREF _Toc204681797 \h </w:instrText>
            </w:r>
            <w:r>
              <w:rPr>
                <w:noProof/>
                <w:webHidden/>
              </w:rPr>
            </w:r>
            <w:r>
              <w:rPr>
                <w:noProof/>
                <w:webHidden/>
              </w:rPr>
              <w:fldChar w:fldCharType="separate"/>
            </w:r>
            <w:r>
              <w:rPr>
                <w:noProof/>
                <w:webHidden/>
              </w:rPr>
              <w:t>1</w:t>
            </w:r>
            <w:r>
              <w:rPr>
                <w:noProof/>
                <w:webHidden/>
              </w:rPr>
              <w:fldChar w:fldCharType="end"/>
            </w:r>
          </w:hyperlink>
        </w:p>
        <w:p w14:paraId="15E8B38B" w14:textId="6E1AB3B0" w:rsidR="007C3D63" w:rsidRDefault="007C3D6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798" w:history="1">
            <w:r w:rsidRPr="00C630EE">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POLICY</w:t>
            </w:r>
            <w:r>
              <w:rPr>
                <w:noProof/>
                <w:webHidden/>
              </w:rPr>
              <w:tab/>
            </w:r>
            <w:r>
              <w:rPr>
                <w:noProof/>
                <w:webHidden/>
              </w:rPr>
              <w:fldChar w:fldCharType="begin"/>
            </w:r>
            <w:r>
              <w:rPr>
                <w:noProof/>
                <w:webHidden/>
              </w:rPr>
              <w:instrText xml:space="preserve"> PAGEREF _Toc204681798 \h </w:instrText>
            </w:r>
            <w:r>
              <w:rPr>
                <w:noProof/>
                <w:webHidden/>
              </w:rPr>
            </w:r>
            <w:r>
              <w:rPr>
                <w:noProof/>
                <w:webHidden/>
              </w:rPr>
              <w:fldChar w:fldCharType="separate"/>
            </w:r>
            <w:r>
              <w:rPr>
                <w:noProof/>
                <w:webHidden/>
              </w:rPr>
              <w:t>2</w:t>
            </w:r>
            <w:r>
              <w:rPr>
                <w:noProof/>
                <w:webHidden/>
              </w:rPr>
              <w:fldChar w:fldCharType="end"/>
            </w:r>
          </w:hyperlink>
        </w:p>
        <w:p w14:paraId="1B3C8D8D" w14:textId="07673A46"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799" w:history="1">
            <w:r w:rsidRPr="00C630EE">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Key Principles</w:t>
            </w:r>
            <w:r>
              <w:rPr>
                <w:noProof/>
                <w:webHidden/>
              </w:rPr>
              <w:tab/>
            </w:r>
            <w:r>
              <w:rPr>
                <w:noProof/>
                <w:webHidden/>
              </w:rPr>
              <w:fldChar w:fldCharType="begin"/>
            </w:r>
            <w:r>
              <w:rPr>
                <w:noProof/>
                <w:webHidden/>
              </w:rPr>
              <w:instrText xml:space="preserve"> PAGEREF _Toc204681799 \h </w:instrText>
            </w:r>
            <w:r>
              <w:rPr>
                <w:noProof/>
                <w:webHidden/>
              </w:rPr>
            </w:r>
            <w:r>
              <w:rPr>
                <w:noProof/>
                <w:webHidden/>
              </w:rPr>
              <w:fldChar w:fldCharType="separate"/>
            </w:r>
            <w:r>
              <w:rPr>
                <w:noProof/>
                <w:webHidden/>
              </w:rPr>
              <w:t>2</w:t>
            </w:r>
            <w:r>
              <w:rPr>
                <w:noProof/>
                <w:webHidden/>
              </w:rPr>
              <w:fldChar w:fldCharType="end"/>
            </w:r>
          </w:hyperlink>
        </w:p>
        <w:p w14:paraId="7D0F1A95" w14:textId="2FAEAF0D"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00" w:history="1">
            <w:r w:rsidRPr="00C630EE">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Social Responsibility in Gambling</w:t>
            </w:r>
            <w:r>
              <w:rPr>
                <w:noProof/>
                <w:webHidden/>
              </w:rPr>
              <w:tab/>
            </w:r>
            <w:r>
              <w:rPr>
                <w:noProof/>
                <w:webHidden/>
              </w:rPr>
              <w:fldChar w:fldCharType="begin"/>
            </w:r>
            <w:r>
              <w:rPr>
                <w:noProof/>
                <w:webHidden/>
              </w:rPr>
              <w:instrText xml:space="preserve"> PAGEREF _Toc204681800 \h </w:instrText>
            </w:r>
            <w:r>
              <w:rPr>
                <w:noProof/>
                <w:webHidden/>
              </w:rPr>
            </w:r>
            <w:r>
              <w:rPr>
                <w:noProof/>
                <w:webHidden/>
              </w:rPr>
              <w:fldChar w:fldCharType="separate"/>
            </w:r>
            <w:r>
              <w:rPr>
                <w:noProof/>
                <w:webHidden/>
              </w:rPr>
              <w:t>3</w:t>
            </w:r>
            <w:r>
              <w:rPr>
                <w:noProof/>
                <w:webHidden/>
              </w:rPr>
              <w:fldChar w:fldCharType="end"/>
            </w:r>
          </w:hyperlink>
        </w:p>
        <w:p w14:paraId="477BC774" w14:textId="15C0FB8E"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01" w:history="1">
            <w:r w:rsidRPr="00C630EE">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Donor Research</w:t>
            </w:r>
            <w:r>
              <w:rPr>
                <w:noProof/>
                <w:webHidden/>
              </w:rPr>
              <w:tab/>
            </w:r>
            <w:r>
              <w:rPr>
                <w:noProof/>
                <w:webHidden/>
              </w:rPr>
              <w:fldChar w:fldCharType="begin"/>
            </w:r>
            <w:r>
              <w:rPr>
                <w:noProof/>
                <w:webHidden/>
              </w:rPr>
              <w:instrText xml:space="preserve"> PAGEREF _Toc204681801 \h </w:instrText>
            </w:r>
            <w:r>
              <w:rPr>
                <w:noProof/>
                <w:webHidden/>
              </w:rPr>
            </w:r>
            <w:r>
              <w:rPr>
                <w:noProof/>
                <w:webHidden/>
              </w:rPr>
              <w:fldChar w:fldCharType="separate"/>
            </w:r>
            <w:r>
              <w:rPr>
                <w:noProof/>
                <w:webHidden/>
              </w:rPr>
              <w:t>3</w:t>
            </w:r>
            <w:r>
              <w:rPr>
                <w:noProof/>
                <w:webHidden/>
              </w:rPr>
              <w:fldChar w:fldCharType="end"/>
            </w:r>
          </w:hyperlink>
        </w:p>
        <w:p w14:paraId="729F9AC2" w14:textId="546F1A21"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02" w:history="1">
            <w:r w:rsidRPr="00C630EE">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Database of Donors</w:t>
            </w:r>
            <w:r>
              <w:rPr>
                <w:noProof/>
                <w:webHidden/>
              </w:rPr>
              <w:tab/>
            </w:r>
            <w:r>
              <w:rPr>
                <w:noProof/>
                <w:webHidden/>
              </w:rPr>
              <w:fldChar w:fldCharType="begin"/>
            </w:r>
            <w:r>
              <w:rPr>
                <w:noProof/>
                <w:webHidden/>
              </w:rPr>
              <w:instrText xml:space="preserve"> PAGEREF _Toc204681802 \h </w:instrText>
            </w:r>
            <w:r>
              <w:rPr>
                <w:noProof/>
                <w:webHidden/>
              </w:rPr>
            </w:r>
            <w:r>
              <w:rPr>
                <w:noProof/>
                <w:webHidden/>
              </w:rPr>
              <w:fldChar w:fldCharType="separate"/>
            </w:r>
            <w:r>
              <w:rPr>
                <w:noProof/>
                <w:webHidden/>
              </w:rPr>
              <w:t>3</w:t>
            </w:r>
            <w:r>
              <w:rPr>
                <w:noProof/>
                <w:webHidden/>
              </w:rPr>
              <w:fldChar w:fldCharType="end"/>
            </w:r>
          </w:hyperlink>
        </w:p>
        <w:p w14:paraId="7000FAB6" w14:textId="4F37FCE6"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03" w:history="1">
            <w:r w:rsidRPr="00C630EE">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Donor Recognition</w:t>
            </w:r>
            <w:r>
              <w:rPr>
                <w:noProof/>
                <w:webHidden/>
              </w:rPr>
              <w:tab/>
            </w:r>
            <w:r>
              <w:rPr>
                <w:noProof/>
                <w:webHidden/>
              </w:rPr>
              <w:fldChar w:fldCharType="begin"/>
            </w:r>
            <w:r>
              <w:rPr>
                <w:noProof/>
                <w:webHidden/>
              </w:rPr>
              <w:instrText xml:space="preserve"> PAGEREF _Toc204681803 \h </w:instrText>
            </w:r>
            <w:r>
              <w:rPr>
                <w:noProof/>
                <w:webHidden/>
              </w:rPr>
            </w:r>
            <w:r>
              <w:rPr>
                <w:noProof/>
                <w:webHidden/>
              </w:rPr>
              <w:fldChar w:fldCharType="separate"/>
            </w:r>
            <w:r>
              <w:rPr>
                <w:noProof/>
                <w:webHidden/>
              </w:rPr>
              <w:t>4</w:t>
            </w:r>
            <w:r>
              <w:rPr>
                <w:noProof/>
                <w:webHidden/>
              </w:rPr>
              <w:fldChar w:fldCharType="end"/>
            </w:r>
          </w:hyperlink>
        </w:p>
        <w:p w14:paraId="709F0A3B" w14:textId="0DDA574A"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04" w:history="1">
            <w:r w:rsidRPr="00C630EE">
              <w:rPr>
                <w:rStyle w:val="Hyperlink"/>
                <w:noProof/>
              </w:rPr>
              <w:t>2.6</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Acceptance and refusal of donations or gifts</w:t>
            </w:r>
            <w:r>
              <w:rPr>
                <w:noProof/>
                <w:webHidden/>
              </w:rPr>
              <w:tab/>
            </w:r>
            <w:r>
              <w:rPr>
                <w:noProof/>
                <w:webHidden/>
              </w:rPr>
              <w:fldChar w:fldCharType="begin"/>
            </w:r>
            <w:r>
              <w:rPr>
                <w:noProof/>
                <w:webHidden/>
              </w:rPr>
              <w:instrText xml:space="preserve"> PAGEREF _Toc204681804 \h </w:instrText>
            </w:r>
            <w:r>
              <w:rPr>
                <w:noProof/>
                <w:webHidden/>
              </w:rPr>
            </w:r>
            <w:r>
              <w:rPr>
                <w:noProof/>
                <w:webHidden/>
              </w:rPr>
              <w:fldChar w:fldCharType="separate"/>
            </w:r>
            <w:r>
              <w:rPr>
                <w:noProof/>
                <w:webHidden/>
              </w:rPr>
              <w:t>4</w:t>
            </w:r>
            <w:r>
              <w:rPr>
                <w:noProof/>
                <w:webHidden/>
              </w:rPr>
              <w:fldChar w:fldCharType="end"/>
            </w:r>
          </w:hyperlink>
        </w:p>
        <w:p w14:paraId="20586BDA" w14:textId="760B301A"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05" w:history="1">
            <w:r w:rsidRPr="00C630EE">
              <w:rPr>
                <w:rStyle w:val="Hyperlink"/>
                <w:noProof/>
              </w:rPr>
              <w:t>2.7</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Donation sharing with other organisations</w:t>
            </w:r>
            <w:r>
              <w:rPr>
                <w:noProof/>
                <w:webHidden/>
              </w:rPr>
              <w:tab/>
            </w:r>
            <w:r>
              <w:rPr>
                <w:noProof/>
                <w:webHidden/>
              </w:rPr>
              <w:fldChar w:fldCharType="begin"/>
            </w:r>
            <w:r>
              <w:rPr>
                <w:noProof/>
                <w:webHidden/>
              </w:rPr>
              <w:instrText xml:space="preserve"> PAGEREF _Toc204681805 \h </w:instrText>
            </w:r>
            <w:r>
              <w:rPr>
                <w:noProof/>
                <w:webHidden/>
              </w:rPr>
            </w:r>
            <w:r>
              <w:rPr>
                <w:noProof/>
                <w:webHidden/>
              </w:rPr>
              <w:fldChar w:fldCharType="separate"/>
            </w:r>
            <w:r>
              <w:rPr>
                <w:noProof/>
                <w:webHidden/>
              </w:rPr>
              <w:t>5</w:t>
            </w:r>
            <w:r>
              <w:rPr>
                <w:noProof/>
                <w:webHidden/>
              </w:rPr>
              <w:fldChar w:fldCharType="end"/>
            </w:r>
          </w:hyperlink>
        </w:p>
        <w:p w14:paraId="7B2E4BC1" w14:textId="2F946043"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06" w:history="1">
            <w:r w:rsidRPr="00C630EE">
              <w:rPr>
                <w:rStyle w:val="Hyperlink"/>
                <w:noProof/>
              </w:rPr>
              <w:t>2.8</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Reports to donors/sponsors</w:t>
            </w:r>
            <w:r>
              <w:rPr>
                <w:noProof/>
                <w:webHidden/>
              </w:rPr>
              <w:tab/>
            </w:r>
            <w:r>
              <w:rPr>
                <w:noProof/>
                <w:webHidden/>
              </w:rPr>
              <w:fldChar w:fldCharType="begin"/>
            </w:r>
            <w:r>
              <w:rPr>
                <w:noProof/>
                <w:webHidden/>
              </w:rPr>
              <w:instrText xml:space="preserve"> PAGEREF _Toc204681806 \h </w:instrText>
            </w:r>
            <w:r>
              <w:rPr>
                <w:noProof/>
                <w:webHidden/>
              </w:rPr>
            </w:r>
            <w:r>
              <w:rPr>
                <w:noProof/>
                <w:webHidden/>
              </w:rPr>
              <w:fldChar w:fldCharType="separate"/>
            </w:r>
            <w:r>
              <w:rPr>
                <w:noProof/>
                <w:webHidden/>
              </w:rPr>
              <w:t>5</w:t>
            </w:r>
            <w:r>
              <w:rPr>
                <w:noProof/>
                <w:webHidden/>
              </w:rPr>
              <w:fldChar w:fldCharType="end"/>
            </w:r>
          </w:hyperlink>
        </w:p>
        <w:p w14:paraId="3A1D28D8" w14:textId="5DB314DB"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07" w:history="1">
            <w:r w:rsidRPr="00C630EE">
              <w:rPr>
                <w:rStyle w:val="Hyperlink"/>
                <w:noProof/>
              </w:rPr>
              <w:t>2.9</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Use of Volunteers for Fundraising Activities</w:t>
            </w:r>
            <w:r>
              <w:rPr>
                <w:noProof/>
                <w:webHidden/>
              </w:rPr>
              <w:tab/>
            </w:r>
            <w:r>
              <w:rPr>
                <w:noProof/>
                <w:webHidden/>
              </w:rPr>
              <w:fldChar w:fldCharType="begin"/>
            </w:r>
            <w:r>
              <w:rPr>
                <w:noProof/>
                <w:webHidden/>
              </w:rPr>
              <w:instrText xml:space="preserve"> PAGEREF _Toc204681807 \h </w:instrText>
            </w:r>
            <w:r>
              <w:rPr>
                <w:noProof/>
                <w:webHidden/>
              </w:rPr>
            </w:r>
            <w:r>
              <w:rPr>
                <w:noProof/>
                <w:webHidden/>
              </w:rPr>
              <w:fldChar w:fldCharType="separate"/>
            </w:r>
            <w:r>
              <w:rPr>
                <w:noProof/>
                <w:webHidden/>
              </w:rPr>
              <w:t>5</w:t>
            </w:r>
            <w:r>
              <w:rPr>
                <w:noProof/>
                <w:webHidden/>
              </w:rPr>
              <w:fldChar w:fldCharType="end"/>
            </w:r>
          </w:hyperlink>
        </w:p>
        <w:p w14:paraId="0BB4B885" w14:textId="796AA012"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08" w:history="1">
            <w:r w:rsidRPr="00C630EE">
              <w:rPr>
                <w:rStyle w:val="Hyperlink"/>
                <w:noProof/>
              </w:rPr>
              <w:t>2.10</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Publicity</w:t>
            </w:r>
            <w:r>
              <w:rPr>
                <w:noProof/>
                <w:webHidden/>
              </w:rPr>
              <w:tab/>
            </w:r>
            <w:r>
              <w:rPr>
                <w:noProof/>
                <w:webHidden/>
              </w:rPr>
              <w:fldChar w:fldCharType="begin"/>
            </w:r>
            <w:r>
              <w:rPr>
                <w:noProof/>
                <w:webHidden/>
              </w:rPr>
              <w:instrText xml:space="preserve"> PAGEREF _Toc204681808 \h </w:instrText>
            </w:r>
            <w:r>
              <w:rPr>
                <w:noProof/>
                <w:webHidden/>
              </w:rPr>
            </w:r>
            <w:r>
              <w:rPr>
                <w:noProof/>
                <w:webHidden/>
              </w:rPr>
              <w:fldChar w:fldCharType="separate"/>
            </w:r>
            <w:r>
              <w:rPr>
                <w:noProof/>
                <w:webHidden/>
              </w:rPr>
              <w:t>5</w:t>
            </w:r>
            <w:r>
              <w:rPr>
                <w:noProof/>
                <w:webHidden/>
              </w:rPr>
              <w:fldChar w:fldCharType="end"/>
            </w:r>
          </w:hyperlink>
        </w:p>
        <w:p w14:paraId="2F1775D3" w14:textId="31853052"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09" w:history="1">
            <w:r w:rsidRPr="00C630EE">
              <w:rPr>
                <w:rStyle w:val="Hyperlink"/>
                <w:noProof/>
              </w:rPr>
              <w:t>2.11</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Complaints</w:t>
            </w:r>
            <w:r>
              <w:rPr>
                <w:noProof/>
                <w:webHidden/>
              </w:rPr>
              <w:tab/>
            </w:r>
            <w:r>
              <w:rPr>
                <w:noProof/>
                <w:webHidden/>
              </w:rPr>
              <w:fldChar w:fldCharType="begin"/>
            </w:r>
            <w:r>
              <w:rPr>
                <w:noProof/>
                <w:webHidden/>
              </w:rPr>
              <w:instrText xml:space="preserve"> PAGEREF _Toc204681809 \h </w:instrText>
            </w:r>
            <w:r>
              <w:rPr>
                <w:noProof/>
                <w:webHidden/>
              </w:rPr>
            </w:r>
            <w:r>
              <w:rPr>
                <w:noProof/>
                <w:webHidden/>
              </w:rPr>
              <w:fldChar w:fldCharType="separate"/>
            </w:r>
            <w:r>
              <w:rPr>
                <w:noProof/>
                <w:webHidden/>
              </w:rPr>
              <w:t>5</w:t>
            </w:r>
            <w:r>
              <w:rPr>
                <w:noProof/>
                <w:webHidden/>
              </w:rPr>
              <w:fldChar w:fldCharType="end"/>
            </w:r>
          </w:hyperlink>
        </w:p>
        <w:p w14:paraId="320FD946" w14:textId="32229431" w:rsidR="007C3D63" w:rsidRDefault="007C3D6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10" w:history="1">
            <w:r w:rsidRPr="00C630EE">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PROCEDURE</w:t>
            </w:r>
            <w:r>
              <w:rPr>
                <w:noProof/>
                <w:webHidden/>
              </w:rPr>
              <w:tab/>
            </w:r>
            <w:r>
              <w:rPr>
                <w:noProof/>
                <w:webHidden/>
              </w:rPr>
              <w:fldChar w:fldCharType="begin"/>
            </w:r>
            <w:r>
              <w:rPr>
                <w:noProof/>
                <w:webHidden/>
              </w:rPr>
              <w:instrText xml:space="preserve"> PAGEREF _Toc204681810 \h </w:instrText>
            </w:r>
            <w:r>
              <w:rPr>
                <w:noProof/>
                <w:webHidden/>
              </w:rPr>
            </w:r>
            <w:r>
              <w:rPr>
                <w:noProof/>
                <w:webHidden/>
              </w:rPr>
              <w:fldChar w:fldCharType="separate"/>
            </w:r>
            <w:r>
              <w:rPr>
                <w:noProof/>
                <w:webHidden/>
              </w:rPr>
              <w:t>6</w:t>
            </w:r>
            <w:r>
              <w:rPr>
                <w:noProof/>
                <w:webHidden/>
              </w:rPr>
              <w:fldChar w:fldCharType="end"/>
            </w:r>
          </w:hyperlink>
        </w:p>
        <w:p w14:paraId="250F200F" w14:textId="3DF26B5E" w:rsidR="007C3D63" w:rsidRDefault="007C3D6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11" w:history="1">
            <w:r w:rsidRPr="00C630EE">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MONITORING COMPLIANCE</w:t>
            </w:r>
            <w:r>
              <w:rPr>
                <w:noProof/>
                <w:webHidden/>
              </w:rPr>
              <w:tab/>
            </w:r>
            <w:r>
              <w:rPr>
                <w:noProof/>
                <w:webHidden/>
              </w:rPr>
              <w:fldChar w:fldCharType="begin"/>
            </w:r>
            <w:r>
              <w:rPr>
                <w:noProof/>
                <w:webHidden/>
              </w:rPr>
              <w:instrText xml:space="preserve"> PAGEREF _Toc204681811 \h </w:instrText>
            </w:r>
            <w:r>
              <w:rPr>
                <w:noProof/>
                <w:webHidden/>
              </w:rPr>
            </w:r>
            <w:r>
              <w:rPr>
                <w:noProof/>
                <w:webHidden/>
              </w:rPr>
              <w:fldChar w:fldCharType="separate"/>
            </w:r>
            <w:r>
              <w:rPr>
                <w:noProof/>
                <w:webHidden/>
              </w:rPr>
              <w:t>6</w:t>
            </w:r>
            <w:r>
              <w:rPr>
                <w:noProof/>
                <w:webHidden/>
              </w:rPr>
              <w:fldChar w:fldCharType="end"/>
            </w:r>
          </w:hyperlink>
        </w:p>
        <w:p w14:paraId="504D99D1" w14:textId="63C21D7A" w:rsidR="007C3D63" w:rsidRDefault="007C3D6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12" w:history="1">
            <w:r w:rsidRPr="00C630EE">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CONSULTATION PROCESS</w:t>
            </w:r>
            <w:r>
              <w:rPr>
                <w:noProof/>
                <w:webHidden/>
              </w:rPr>
              <w:tab/>
            </w:r>
            <w:r>
              <w:rPr>
                <w:noProof/>
                <w:webHidden/>
              </w:rPr>
              <w:fldChar w:fldCharType="begin"/>
            </w:r>
            <w:r>
              <w:rPr>
                <w:noProof/>
                <w:webHidden/>
              </w:rPr>
              <w:instrText xml:space="preserve"> PAGEREF _Toc204681812 \h </w:instrText>
            </w:r>
            <w:r>
              <w:rPr>
                <w:noProof/>
                <w:webHidden/>
              </w:rPr>
            </w:r>
            <w:r>
              <w:rPr>
                <w:noProof/>
                <w:webHidden/>
              </w:rPr>
              <w:fldChar w:fldCharType="separate"/>
            </w:r>
            <w:r>
              <w:rPr>
                <w:noProof/>
                <w:webHidden/>
              </w:rPr>
              <w:t>7</w:t>
            </w:r>
            <w:r>
              <w:rPr>
                <w:noProof/>
                <w:webHidden/>
              </w:rPr>
              <w:fldChar w:fldCharType="end"/>
            </w:r>
          </w:hyperlink>
        </w:p>
        <w:p w14:paraId="4C12D3DF" w14:textId="5F421BE3" w:rsidR="007C3D63" w:rsidRDefault="007C3D6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13" w:history="1">
            <w:r w:rsidRPr="00C630EE">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EQUALITY IMPACT STATEMENT</w:t>
            </w:r>
            <w:r>
              <w:rPr>
                <w:noProof/>
                <w:webHidden/>
              </w:rPr>
              <w:tab/>
            </w:r>
            <w:r>
              <w:rPr>
                <w:noProof/>
                <w:webHidden/>
              </w:rPr>
              <w:fldChar w:fldCharType="begin"/>
            </w:r>
            <w:r>
              <w:rPr>
                <w:noProof/>
                <w:webHidden/>
              </w:rPr>
              <w:instrText xml:space="preserve"> PAGEREF _Toc204681813 \h </w:instrText>
            </w:r>
            <w:r>
              <w:rPr>
                <w:noProof/>
                <w:webHidden/>
              </w:rPr>
            </w:r>
            <w:r>
              <w:rPr>
                <w:noProof/>
                <w:webHidden/>
              </w:rPr>
              <w:fldChar w:fldCharType="separate"/>
            </w:r>
            <w:r>
              <w:rPr>
                <w:noProof/>
                <w:webHidden/>
              </w:rPr>
              <w:t>7</w:t>
            </w:r>
            <w:r>
              <w:rPr>
                <w:noProof/>
                <w:webHidden/>
              </w:rPr>
              <w:fldChar w:fldCharType="end"/>
            </w:r>
          </w:hyperlink>
        </w:p>
        <w:p w14:paraId="0956EFE7" w14:textId="2E5C55D6" w:rsidR="007C3D63" w:rsidRDefault="007C3D6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14" w:history="1">
            <w:r w:rsidRPr="00C630EE">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EQUALITY IMPACT SCREENING TOOL</w:t>
            </w:r>
            <w:r>
              <w:rPr>
                <w:noProof/>
                <w:webHidden/>
              </w:rPr>
              <w:tab/>
            </w:r>
            <w:r>
              <w:rPr>
                <w:noProof/>
                <w:webHidden/>
              </w:rPr>
              <w:fldChar w:fldCharType="begin"/>
            </w:r>
            <w:r>
              <w:rPr>
                <w:noProof/>
                <w:webHidden/>
              </w:rPr>
              <w:instrText xml:space="preserve"> PAGEREF _Toc204681814 \h </w:instrText>
            </w:r>
            <w:r>
              <w:rPr>
                <w:noProof/>
                <w:webHidden/>
              </w:rPr>
            </w:r>
            <w:r>
              <w:rPr>
                <w:noProof/>
                <w:webHidden/>
              </w:rPr>
              <w:fldChar w:fldCharType="separate"/>
            </w:r>
            <w:r>
              <w:rPr>
                <w:noProof/>
                <w:webHidden/>
              </w:rPr>
              <w:t>8</w:t>
            </w:r>
            <w:r>
              <w:rPr>
                <w:noProof/>
                <w:webHidden/>
              </w:rPr>
              <w:fldChar w:fldCharType="end"/>
            </w:r>
          </w:hyperlink>
        </w:p>
        <w:p w14:paraId="673E14E2" w14:textId="1FD0163D" w:rsidR="007C3D63" w:rsidRDefault="007C3D6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15" w:history="1">
            <w:r w:rsidRPr="00C630EE">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IMPLEMENTATION PLAN</w:t>
            </w:r>
            <w:r>
              <w:rPr>
                <w:noProof/>
                <w:webHidden/>
              </w:rPr>
              <w:tab/>
            </w:r>
            <w:r>
              <w:rPr>
                <w:noProof/>
                <w:webHidden/>
              </w:rPr>
              <w:fldChar w:fldCharType="begin"/>
            </w:r>
            <w:r>
              <w:rPr>
                <w:noProof/>
                <w:webHidden/>
              </w:rPr>
              <w:instrText xml:space="preserve"> PAGEREF _Toc204681815 \h </w:instrText>
            </w:r>
            <w:r>
              <w:rPr>
                <w:noProof/>
                <w:webHidden/>
              </w:rPr>
            </w:r>
            <w:r>
              <w:rPr>
                <w:noProof/>
                <w:webHidden/>
              </w:rPr>
              <w:fldChar w:fldCharType="separate"/>
            </w:r>
            <w:r>
              <w:rPr>
                <w:noProof/>
                <w:webHidden/>
              </w:rPr>
              <w:t>9</w:t>
            </w:r>
            <w:r>
              <w:rPr>
                <w:noProof/>
                <w:webHidden/>
              </w:rPr>
              <w:fldChar w:fldCharType="end"/>
            </w:r>
          </w:hyperlink>
        </w:p>
        <w:p w14:paraId="53B40322" w14:textId="34642279" w:rsidR="007C3D63" w:rsidRDefault="007C3D6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16" w:history="1">
            <w:r w:rsidRPr="00C630EE">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GLOSSARY OF TERMS</w:t>
            </w:r>
            <w:r>
              <w:rPr>
                <w:noProof/>
                <w:webHidden/>
              </w:rPr>
              <w:tab/>
            </w:r>
            <w:r>
              <w:rPr>
                <w:noProof/>
                <w:webHidden/>
              </w:rPr>
              <w:fldChar w:fldCharType="begin"/>
            </w:r>
            <w:r>
              <w:rPr>
                <w:noProof/>
                <w:webHidden/>
              </w:rPr>
              <w:instrText xml:space="preserve"> PAGEREF _Toc204681816 \h </w:instrText>
            </w:r>
            <w:r>
              <w:rPr>
                <w:noProof/>
                <w:webHidden/>
              </w:rPr>
            </w:r>
            <w:r>
              <w:rPr>
                <w:noProof/>
                <w:webHidden/>
              </w:rPr>
              <w:fldChar w:fldCharType="separate"/>
            </w:r>
            <w:r>
              <w:rPr>
                <w:noProof/>
                <w:webHidden/>
              </w:rPr>
              <w:t>9</w:t>
            </w:r>
            <w:r>
              <w:rPr>
                <w:noProof/>
                <w:webHidden/>
              </w:rPr>
              <w:fldChar w:fldCharType="end"/>
            </w:r>
          </w:hyperlink>
        </w:p>
        <w:p w14:paraId="3BE911CF" w14:textId="7D307BBA" w:rsidR="007C3D63" w:rsidRDefault="007C3D6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4681817" w:history="1">
            <w:r w:rsidRPr="00C630EE">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C630EE">
              <w:rPr>
                <w:rStyle w:val="Hyperlink"/>
                <w:noProof/>
              </w:rPr>
              <w:t>REFERENCES</w:t>
            </w:r>
            <w:r>
              <w:rPr>
                <w:noProof/>
                <w:webHidden/>
              </w:rPr>
              <w:tab/>
            </w:r>
            <w:r>
              <w:rPr>
                <w:noProof/>
                <w:webHidden/>
              </w:rPr>
              <w:fldChar w:fldCharType="begin"/>
            </w:r>
            <w:r>
              <w:rPr>
                <w:noProof/>
                <w:webHidden/>
              </w:rPr>
              <w:instrText xml:space="preserve"> PAGEREF _Toc204681817 \h </w:instrText>
            </w:r>
            <w:r>
              <w:rPr>
                <w:noProof/>
                <w:webHidden/>
              </w:rPr>
            </w:r>
            <w:r>
              <w:rPr>
                <w:noProof/>
                <w:webHidden/>
              </w:rPr>
              <w:fldChar w:fldCharType="separate"/>
            </w:r>
            <w:r>
              <w:rPr>
                <w:noProof/>
                <w:webHidden/>
              </w:rPr>
              <w:t>10</w:t>
            </w:r>
            <w:r>
              <w:rPr>
                <w:noProof/>
                <w:webHidden/>
              </w:rPr>
              <w:fldChar w:fldCharType="end"/>
            </w:r>
          </w:hyperlink>
        </w:p>
        <w:p w14:paraId="1848FBD0" w14:textId="775CFF99" w:rsidR="00856DE7" w:rsidRDefault="00790710" w:rsidP="005351FA">
          <w:pPr>
            <w:rPr>
              <w:rFonts w:cs="Arial"/>
            </w:rPr>
            <w:sectPr w:rsidR="00856DE7" w:rsidSect="002006AD">
              <w:pgSz w:w="11906" w:h="16838"/>
              <w:pgMar w:top="1440" w:right="1440" w:bottom="1135" w:left="1440" w:header="708" w:footer="220" w:gutter="0"/>
              <w:cols w:space="708"/>
              <w:titlePg/>
              <w:docGrid w:linePitch="360"/>
            </w:sectPr>
          </w:pPr>
          <w:r w:rsidRPr="00856DE7">
            <w:rPr>
              <w:rFonts w:cs="Arial"/>
              <w:b/>
              <w:bCs/>
              <w:noProof/>
            </w:rPr>
            <w:fldChar w:fldCharType="end"/>
          </w:r>
        </w:p>
      </w:sdtContent>
    </w:sdt>
    <w:p w14:paraId="42F12352" w14:textId="77777777" w:rsidR="00101BBD" w:rsidRPr="00856DE7" w:rsidRDefault="0069423A" w:rsidP="00A33A94">
      <w:pPr>
        <w:pStyle w:val="Heading1"/>
      </w:pPr>
      <w:bookmarkStart w:id="0" w:name="_Toc204681794"/>
      <w:r w:rsidRPr="00A33A94">
        <w:lastRenderedPageBreak/>
        <w:t>INTRODUCTION</w:t>
      </w:r>
      <w:bookmarkEnd w:id="0"/>
    </w:p>
    <w:p w14:paraId="37E4D994" w14:textId="35264060" w:rsidR="00635894" w:rsidRDefault="0069423A" w:rsidP="00AA26D2">
      <w:pPr>
        <w:pStyle w:val="Heading2"/>
      </w:pPr>
      <w:bookmarkStart w:id="1" w:name="_Toc204681795"/>
      <w:r w:rsidRPr="00AA26D2">
        <w:t>Rationale</w:t>
      </w:r>
      <w:bookmarkEnd w:id="1"/>
    </w:p>
    <w:p w14:paraId="7D566A01" w14:textId="77777777" w:rsidR="008767FF" w:rsidRPr="006B140C" w:rsidRDefault="008767FF" w:rsidP="006F0109">
      <w:r w:rsidRPr="006B140C">
        <w:t xml:space="preserve">At Family Nursing &amp; Home Care (FNHC) our fundraising promise to the </w:t>
      </w:r>
      <w:proofErr w:type="gramStart"/>
      <w:r w:rsidRPr="006B140C">
        <w:t>general public</w:t>
      </w:r>
      <w:proofErr w:type="gramEnd"/>
      <w:r w:rsidRPr="006B140C">
        <w:t xml:space="preserve"> and our existing supporters is that our fundraising, in all its forms, is legal, open, honest and respectful. </w:t>
      </w:r>
    </w:p>
    <w:p w14:paraId="4744A2D2" w14:textId="635B0F99" w:rsidR="008767FF" w:rsidRPr="006B140C" w:rsidRDefault="008767FF" w:rsidP="006F0109">
      <w:r w:rsidRPr="006B140C">
        <w:t xml:space="preserve">Charitable Funds consist of but are not exclusively limited to: </w:t>
      </w:r>
    </w:p>
    <w:p w14:paraId="2F272383" w14:textId="3850221A" w:rsidR="008767FF" w:rsidRPr="001510F1" w:rsidRDefault="008767FF" w:rsidP="006F0109">
      <w:pPr>
        <w:pStyle w:val="ListParagraph"/>
        <w:numPr>
          <w:ilvl w:val="0"/>
          <w:numId w:val="45"/>
        </w:numPr>
      </w:pPr>
      <w:r>
        <w:t>Friends of FNHC</w:t>
      </w:r>
    </w:p>
    <w:p w14:paraId="0B8A2E89" w14:textId="3DE8C0E8" w:rsidR="008767FF" w:rsidRDefault="009639B7" w:rsidP="006F0109">
      <w:pPr>
        <w:pStyle w:val="ListParagraph"/>
        <w:numPr>
          <w:ilvl w:val="0"/>
          <w:numId w:val="45"/>
        </w:numPr>
      </w:pPr>
      <w:r>
        <w:t xml:space="preserve">Gifts </w:t>
      </w:r>
      <w:r w:rsidR="008767FF" w:rsidRPr="001510F1">
        <w:t xml:space="preserve">left in a </w:t>
      </w:r>
      <w:r>
        <w:t>will</w:t>
      </w:r>
      <w:r w:rsidR="008767FF" w:rsidRPr="001510F1">
        <w:t xml:space="preserve"> for the benefit of FNHC (or a certain part of FNHC) </w:t>
      </w:r>
      <w:r>
        <w:t>such as money, property</w:t>
      </w:r>
      <w:r w:rsidR="00345845">
        <w:t xml:space="preserve">, assets </w:t>
      </w:r>
      <w:r w:rsidR="002E60B3">
        <w:t>etc.</w:t>
      </w:r>
    </w:p>
    <w:p w14:paraId="4F27FE5B" w14:textId="509E98A4" w:rsidR="008767FF" w:rsidRDefault="008767FF" w:rsidP="006F0109">
      <w:pPr>
        <w:pStyle w:val="ListParagraph"/>
        <w:numPr>
          <w:ilvl w:val="0"/>
          <w:numId w:val="45"/>
        </w:numPr>
      </w:pPr>
      <w:r w:rsidRPr="001510F1">
        <w:t xml:space="preserve">Money raised through fundraising events </w:t>
      </w:r>
    </w:p>
    <w:p w14:paraId="4C55D8ED" w14:textId="086C2007" w:rsidR="008767FF" w:rsidRDefault="008767FF" w:rsidP="006F0109">
      <w:pPr>
        <w:pStyle w:val="ListParagraph"/>
        <w:numPr>
          <w:ilvl w:val="0"/>
          <w:numId w:val="45"/>
        </w:numPr>
      </w:pPr>
      <w:r w:rsidRPr="001510F1">
        <w:t xml:space="preserve">Money donated as </w:t>
      </w:r>
      <w:r w:rsidR="002E60B3">
        <w:t>through</w:t>
      </w:r>
      <w:r w:rsidRPr="001510F1">
        <w:t xml:space="preserve"> fundraising appeal</w:t>
      </w:r>
      <w:r w:rsidR="002E60B3">
        <w:t>s</w:t>
      </w:r>
      <w:r w:rsidRPr="001510F1">
        <w:t xml:space="preserve"> </w:t>
      </w:r>
    </w:p>
    <w:p w14:paraId="146FDD35" w14:textId="77777777" w:rsidR="008767FF" w:rsidRDefault="008767FF" w:rsidP="006F0109">
      <w:pPr>
        <w:pStyle w:val="ListParagraph"/>
        <w:numPr>
          <w:ilvl w:val="0"/>
          <w:numId w:val="45"/>
        </w:numPr>
      </w:pPr>
      <w:r w:rsidRPr="001510F1">
        <w:t xml:space="preserve">Corporate sponsorship </w:t>
      </w:r>
    </w:p>
    <w:p w14:paraId="2285FD51" w14:textId="77777777" w:rsidR="008767FF" w:rsidRDefault="008767FF" w:rsidP="006F0109">
      <w:pPr>
        <w:pStyle w:val="ListParagraph"/>
        <w:numPr>
          <w:ilvl w:val="0"/>
          <w:numId w:val="45"/>
        </w:numPr>
      </w:pPr>
      <w:r w:rsidRPr="001510F1">
        <w:t xml:space="preserve">Charitable foundation funds </w:t>
      </w:r>
    </w:p>
    <w:p w14:paraId="703A4CF4" w14:textId="2980789B" w:rsidR="008767FF" w:rsidRPr="009639B7" w:rsidRDefault="008767FF" w:rsidP="006F0109">
      <w:pPr>
        <w:pStyle w:val="ListParagraph"/>
        <w:numPr>
          <w:ilvl w:val="0"/>
          <w:numId w:val="45"/>
        </w:numPr>
      </w:pPr>
      <w:r w:rsidRPr="001510F1">
        <w:t xml:space="preserve">Tangible personal property (gifts-in-kind) </w:t>
      </w:r>
    </w:p>
    <w:p w14:paraId="07A7226F" w14:textId="76AEB46A" w:rsidR="008767FF" w:rsidRDefault="00232B49" w:rsidP="006F0109">
      <w:pPr>
        <w:pStyle w:val="ListParagraph"/>
        <w:numPr>
          <w:ilvl w:val="0"/>
          <w:numId w:val="45"/>
        </w:numPr>
      </w:pPr>
      <w:r>
        <w:t xml:space="preserve">Individual </w:t>
      </w:r>
      <w:r w:rsidR="006507A7">
        <w:t>Fundraising</w:t>
      </w:r>
    </w:p>
    <w:p w14:paraId="499F2BA9" w14:textId="6F73DCBA" w:rsidR="00DD7C73" w:rsidRDefault="006507A7" w:rsidP="006F0109">
      <w:pPr>
        <w:pStyle w:val="ListParagraph"/>
        <w:numPr>
          <w:ilvl w:val="0"/>
          <w:numId w:val="45"/>
        </w:numPr>
      </w:pPr>
      <w:r>
        <w:t>In Memoriam Donations</w:t>
      </w:r>
    </w:p>
    <w:p w14:paraId="1A4698F2" w14:textId="61EA27D1" w:rsidR="00F41CCD" w:rsidRDefault="00F41CCD" w:rsidP="006F0109">
      <w:pPr>
        <w:pStyle w:val="ListParagraph"/>
        <w:numPr>
          <w:ilvl w:val="0"/>
          <w:numId w:val="45"/>
        </w:numPr>
      </w:pPr>
      <w:r>
        <w:t>Draw Club</w:t>
      </w:r>
    </w:p>
    <w:p w14:paraId="31E09E1E" w14:textId="5AD41DD3" w:rsidR="008767FF" w:rsidRDefault="009E0580" w:rsidP="006F0109">
      <w:pPr>
        <w:pStyle w:val="ListParagraph"/>
        <w:numPr>
          <w:ilvl w:val="0"/>
          <w:numId w:val="45"/>
        </w:numPr>
      </w:pPr>
      <w:r>
        <w:t>Retail donation</w:t>
      </w:r>
      <w:r w:rsidR="00DD6ABE">
        <w:t>s</w:t>
      </w:r>
      <w:r>
        <w:t>, such as Easy Fundraising, Co-op FNHC Share number</w:t>
      </w:r>
    </w:p>
    <w:p w14:paraId="63124FA2" w14:textId="16C4140C" w:rsidR="008767FF" w:rsidRPr="00851519" w:rsidRDefault="008767FF" w:rsidP="006F0109">
      <w:r w:rsidRPr="00851519">
        <w:t xml:space="preserve">Fundraising </w:t>
      </w:r>
      <w:r>
        <w:t xml:space="preserve">activities </w:t>
      </w:r>
      <w:r w:rsidRPr="00851519">
        <w:t xml:space="preserve">will be carried out in line with the </w:t>
      </w:r>
      <w:r w:rsidRPr="00B21954">
        <w:t>UK Code of Fundraising Practice (20</w:t>
      </w:r>
      <w:r w:rsidR="00233760">
        <w:t>19</w:t>
      </w:r>
      <w:r w:rsidRPr="00B21954">
        <w:t>)</w:t>
      </w:r>
      <w:r>
        <w:t xml:space="preserve"> and guidance from the Jersey Charity Commission</w:t>
      </w:r>
      <w:r w:rsidRPr="00851519">
        <w:t xml:space="preserve">. </w:t>
      </w:r>
    </w:p>
    <w:p w14:paraId="1780846F" w14:textId="540DF2A6" w:rsidR="008767FF" w:rsidRDefault="008767FF" w:rsidP="006F0109">
      <w:r w:rsidRPr="00851519">
        <w:t>All fundraising by me</w:t>
      </w:r>
      <w:r w:rsidR="00B21954">
        <w:t xml:space="preserve">ans of lotteries, e.g. raffles </w:t>
      </w:r>
      <w:r w:rsidRPr="00851519">
        <w:t xml:space="preserve">etc. </w:t>
      </w:r>
      <w:r>
        <w:t xml:space="preserve">will </w:t>
      </w:r>
      <w:r w:rsidRPr="00851519">
        <w:t xml:space="preserve">comply with </w:t>
      </w:r>
      <w:r w:rsidRPr="00B21954">
        <w:t>the Jersey Gambling Commission Code of Conduct for Soci</w:t>
      </w:r>
      <w:r w:rsidR="00B21954" w:rsidRPr="00B21954">
        <w:t>al and Charitable Gambling (202</w:t>
      </w:r>
      <w:r w:rsidR="00233760">
        <w:t>5</w:t>
      </w:r>
      <w:r w:rsidR="00B21954" w:rsidRPr="00B21954">
        <w:t>a) and Advice Note (202</w:t>
      </w:r>
      <w:r w:rsidR="00233760">
        <w:t>5</w:t>
      </w:r>
      <w:r w:rsidRPr="00B21954">
        <w:t>b).</w:t>
      </w:r>
      <w:r>
        <w:t xml:space="preserve"> </w:t>
      </w:r>
    </w:p>
    <w:p w14:paraId="7C511859" w14:textId="77777777" w:rsidR="00BF5D28" w:rsidRPr="008767FF" w:rsidRDefault="00BF5D28" w:rsidP="006F0109"/>
    <w:p w14:paraId="693247D0" w14:textId="2124D3E0" w:rsidR="00635894" w:rsidRDefault="0069423A" w:rsidP="00AA26D2">
      <w:pPr>
        <w:pStyle w:val="Heading2"/>
      </w:pPr>
      <w:bookmarkStart w:id="2" w:name="_Toc204681796"/>
      <w:r w:rsidRPr="00AA26D2">
        <w:t>Scope</w:t>
      </w:r>
      <w:bookmarkEnd w:id="2"/>
    </w:p>
    <w:p w14:paraId="1CE0EFC0" w14:textId="13B86BDE" w:rsidR="008767FF" w:rsidRDefault="008767FF" w:rsidP="00374CF1">
      <w:r w:rsidRPr="008767FF">
        <w:t>This policy applies to any member of FNHC staff who is involved in fundraising activity</w:t>
      </w:r>
      <w:r>
        <w:t xml:space="preserve">. </w:t>
      </w:r>
      <w:r w:rsidR="00E202CA">
        <w:t xml:space="preserve">The administration of Grants and Legacies </w:t>
      </w:r>
      <w:proofErr w:type="gramStart"/>
      <w:r w:rsidR="00E202CA">
        <w:t>are</w:t>
      </w:r>
      <w:proofErr w:type="gramEnd"/>
      <w:r w:rsidR="00E202CA">
        <w:t xml:space="preserve"> covered by separate Standard Operating Procedures. </w:t>
      </w:r>
    </w:p>
    <w:p w14:paraId="3EDA6F84" w14:textId="77777777" w:rsidR="00BF5D28" w:rsidRPr="008767FF" w:rsidRDefault="00BF5D28" w:rsidP="00374CF1"/>
    <w:p w14:paraId="572DF1CC" w14:textId="475ECD1E" w:rsidR="00444440" w:rsidRPr="00444440" w:rsidRDefault="00546198" w:rsidP="00444440">
      <w:pPr>
        <w:pStyle w:val="Heading2"/>
      </w:pPr>
      <w:bookmarkStart w:id="3" w:name="_Toc204681797"/>
      <w:r w:rsidRPr="00856DE7">
        <w:t xml:space="preserve">Role </w:t>
      </w:r>
      <w:r w:rsidRPr="00AA26D2">
        <w:t>and</w:t>
      </w:r>
      <w:r w:rsidRPr="00856DE7">
        <w:t xml:space="preserve"> Responsibilities</w:t>
      </w:r>
      <w:bookmarkEnd w:id="3"/>
    </w:p>
    <w:p w14:paraId="5B7DEEFB" w14:textId="31F8C923" w:rsidR="008767FF" w:rsidRPr="00223DC5" w:rsidRDefault="008767FF" w:rsidP="008767FF">
      <w:pPr>
        <w:rPr>
          <w:b/>
          <w:bCs/>
        </w:rPr>
      </w:pPr>
      <w:r w:rsidRPr="00223DC5">
        <w:rPr>
          <w:b/>
          <w:bCs/>
        </w:rPr>
        <w:t>Committee</w:t>
      </w:r>
    </w:p>
    <w:p w14:paraId="094607C7" w14:textId="483EB05D" w:rsidR="008767FF" w:rsidRDefault="00476B90" w:rsidP="008767FF">
      <w:r>
        <w:t xml:space="preserve">The </w:t>
      </w:r>
      <w:r w:rsidR="008767FF">
        <w:t>Committee holds ultimate responsibility for fundraising compliance. They delegate operational management of fundraising to the CEO and Senior Leadership Team.</w:t>
      </w:r>
    </w:p>
    <w:p w14:paraId="7D201366" w14:textId="77777777" w:rsidR="00444440" w:rsidRDefault="00444440" w:rsidP="008767FF"/>
    <w:p w14:paraId="3EB9F91F" w14:textId="77777777" w:rsidR="00444440" w:rsidRDefault="00444440" w:rsidP="008767FF"/>
    <w:p w14:paraId="7B64BF8C" w14:textId="1A1220F1" w:rsidR="008767FF" w:rsidRPr="00223DC5" w:rsidRDefault="008767FF" w:rsidP="0006647D">
      <w:pPr>
        <w:rPr>
          <w:b/>
          <w:bCs/>
        </w:rPr>
      </w:pPr>
      <w:r w:rsidRPr="00223DC5">
        <w:rPr>
          <w:b/>
          <w:bCs/>
        </w:rPr>
        <w:lastRenderedPageBreak/>
        <w:t>C</w:t>
      </w:r>
      <w:r w:rsidR="006B5C8A">
        <w:rPr>
          <w:b/>
          <w:bCs/>
        </w:rPr>
        <w:t xml:space="preserve">hief </w:t>
      </w:r>
      <w:r w:rsidRPr="00223DC5">
        <w:rPr>
          <w:b/>
          <w:bCs/>
        </w:rPr>
        <w:t>E</w:t>
      </w:r>
      <w:r w:rsidR="006B5C8A">
        <w:rPr>
          <w:b/>
          <w:bCs/>
        </w:rPr>
        <w:t xml:space="preserve">xecutive </w:t>
      </w:r>
      <w:r w:rsidRPr="00223DC5">
        <w:rPr>
          <w:b/>
          <w:bCs/>
        </w:rPr>
        <w:t>O</w:t>
      </w:r>
      <w:r w:rsidR="006B5C8A">
        <w:rPr>
          <w:b/>
          <w:bCs/>
        </w:rPr>
        <w:t>fficer (CEO)</w:t>
      </w:r>
      <w:r w:rsidRPr="00223DC5">
        <w:rPr>
          <w:b/>
          <w:bCs/>
        </w:rPr>
        <w:t xml:space="preserve"> and Senior Leadership Team</w:t>
      </w:r>
      <w:r w:rsidR="006B5C8A">
        <w:rPr>
          <w:b/>
          <w:bCs/>
        </w:rPr>
        <w:t xml:space="preserve"> (SLT)</w:t>
      </w:r>
    </w:p>
    <w:p w14:paraId="28A55983" w14:textId="66C81FC4" w:rsidR="0097279E" w:rsidRPr="0006647D" w:rsidRDefault="008767FF" w:rsidP="0006647D">
      <w:r>
        <w:t xml:space="preserve">The CEO and Senior Leadership Team have overall accountability for the </w:t>
      </w:r>
      <w:proofErr w:type="gramStart"/>
      <w:r>
        <w:t>day to day</w:t>
      </w:r>
      <w:proofErr w:type="gramEnd"/>
      <w:r>
        <w:t xml:space="preserve"> management of fundraising within FNHC.</w:t>
      </w:r>
    </w:p>
    <w:p w14:paraId="4576034D" w14:textId="77777777" w:rsidR="0006647D" w:rsidRDefault="0006647D" w:rsidP="0006647D">
      <w:pPr>
        <w:rPr>
          <w:rFonts w:eastAsiaTheme="minorHAnsi"/>
          <w:u w:val="single"/>
          <w:lang w:val="en-GB"/>
        </w:rPr>
      </w:pPr>
    </w:p>
    <w:p w14:paraId="4EAB7EBD" w14:textId="63AED6DF" w:rsidR="008767FF" w:rsidRPr="00D95BA0" w:rsidRDefault="008767FF" w:rsidP="0006647D">
      <w:pPr>
        <w:rPr>
          <w:rFonts w:eastAsiaTheme="minorHAnsi"/>
          <w:b/>
          <w:bCs/>
          <w:lang w:val="en-GB"/>
        </w:rPr>
      </w:pPr>
      <w:r w:rsidRPr="00D95BA0">
        <w:rPr>
          <w:rFonts w:eastAsiaTheme="minorHAnsi"/>
          <w:b/>
          <w:bCs/>
          <w:lang w:val="en-GB"/>
        </w:rPr>
        <w:t xml:space="preserve">Head of Fundraising </w:t>
      </w:r>
    </w:p>
    <w:p w14:paraId="7A821090" w14:textId="61657872" w:rsidR="008767FF" w:rsidRPr="00374CF1" w:rsidRDefault="008767FF" w:rsidP="00374CF1">
      <w:pPr>
        <w:autoSpaceDE w:val="0"/>
        <w:autoSpaceDN w:val="0"/>
        <w:adjustRightInd w:val="0"/>
        <w:spacing w:before="0" w:line="276" w:lineRule="auto"/>
        <w:rPr>
          <w:rFonts w:eastAsiaTheme="minorHAnsi" w:cs="Arial"/>
          <w:szCs w:val="22"/>
          <w:lang w:val="en-GB"/>
        </w:rPr>
      </w:pPr>
      <w:r w:rsidRPr="008767FF">
        <w:rPr>
          <w:rFonts w:eastAsiaTheme="minorHAnsi" w:cs="Arial"/>
          <w:szCs w:val="22"/>
          <w:lang w:val="en-GB"/>
        </w:rPr>
        <w:t>The Head of Fundraising is responsible for:</w:t>
      </w:r>
    </w:p>
    <w:p w14:paraId="6AC259B9" w14:textId="56788C37" w:rsidR="008767FF" w:rsidRPr="00374CF1" w:rsidRDefault="008767FF" w:rsidP="00374CF1">
      <w:pPr>
        <w:pStyle w:val="ListParagraph"/>
        <w:numPr>
          <w:ilvl w:val="0"/>
          <w:numId w:val="46"/>
        </w:numPr>
        <w:rPr>
          <w:rFonts w:eastAsiaTheme="minorHAnsi"/>
          <w:lang w:val="en-GB"/>
        </w:rPr>
      </w:pPr>
      <w:r w:rsidRPr="00374CF1">
        <w:rPr>
          <w:rFonts w:eastAsiaTheme="minorHAnsi"/>
          <w:lang w:val="en-GB"/>
        </w:rPr>
        <w:t xml:space="preserve">ensuring FNHC </w:t>
      </w:r>
      <w:r w:rsidR="00821C6B" w:rsidRPr="00374CF1">
        <w:rPr>
          <w:rFonts w:eastAsiaTheme="minorHAnsi"/>
          <w:lang w:val="en-GB"/>
        </w:rPr>
        <w:t xml:space="preserve">is </w:t>
      </w:r>
      <w:r w:rsidRPr="00374CF1">
        <w:rPr>
          <w:rFonts w:eastAsiaTheme="minorHAnsi"/>
          <w:lang w:val="en-GB"/>
        </w:rPr>
        <w:t>compliant with the requirements of the Jersey Charity Commission</w:t>
      </w:r>
    </w:p>
    <w:p w14:paraId="3B2E8407" w14:textId="13CB7E4F" w:rsidR="00E202CA" w:rsidRPr="00374CF1" w:rsidRDefault="008767FF" w:rsidP="00374CF1">
      <w:pPr>
        <w:pStyle w:val="ListParagraph"/>
        <w:numPr>
          <w:ilvl w:val="0"/>
          <w:numId w:val="46"/>
        </w:numPr>
        <w:rPr>
          <w:rFonts w:eastAsiaTheme="minorHAnsi"/>
          <w:lang w:val="en-GB"/>
        </w:rPr>
      </w:pPr>
      <w:r w:rsidRPr="00374CF1">
        <w:rPr>
          <w:rFonts w:eastAsiaTheme="minorHAnsi"/>
          <w:lang w:val="en-GB"/>
        </w:rPr>
        <w:t>developing an integrated fundraising strategy</w:t>
      </w:r>
    </w:p>
    <w:p w14:paraId="378E3C21" w14:textId="77777777" w:rsidR="008767FF" w:rsidRPr="00374CF1" w:rsidRDefault="008767FF" w:rsidP="00374CF1">
      <w:pPr>
        <w:pStyle w:val="ListParagraph"/>
        <w:numPr>
          <w:ilvl w:val="0"/>
          <w:numId w:val="46"/>
        </w:numPr>
        <w:rPr>
          <w:rFonts w:eastAsiaTheme="minorHAnsi"/>
          <w:lang w:val="en-GB"/>
        </w:rPr>
      </w:pPr>
      <w:r w:rsidRPr="00374CF1">
        <w:rPr>
          <w:rFonts w:eastAsiaTheme="minorHAnsi"/>
          <w:lang w:val="en-GB"/>
        </w:rPr>
        <w:t>successfully delivering the required levels of fundraising</w:t>
      </w:r>
    </w:p>
    <w:p w14:paraId="66A59EDE" w14:textId="77777777" w:rsidR="008767FF" w:rsidRPr="00374CF1" w:rsidRDefault="008767FF" w:rsidP="00374CF1">
      <w:pPr>
        <w:pStyle w:val="ListParagraph"/>
        <w:numPr>
          <w:ilvl w:val="0"/>
          <w:numId w:val="46"/>
        </w:numPr>
        <w:rPr>
          <w:rFonts w:eastAsiaTheme="minorHAnsi"/>
          <w:lang w:val="en-GB"/>
        </w:rPr>
      </w:pPr>
      <w:r w:rsidRPr="00374CF1">
        <w:rPr>
          <w:rFonts w:eastAsiaTheme="minorHAnsi"/>
          <w:lang w:val="en-GB"/>
        </w:rPr>
        <w:t>expanding and developing fundraising capability and increasing the number of FNHC supporters and regular donors</w:t>
      </w:r>
    </w:p>
    <w:p w14:paraId="7ACCA587" w14:textId="77777777" w:rsidR="008767FF" w:rsidRPr="00374CF1" w:rsidRDefault="008767FF" w:rsidP="00374CF1">
      <w:pPr>
        <w:pStyle w:val="ListParagraph"/>
        <w:numPr>
          <w:ilvl w:val="0"/>
          <w:numId w:val="46"/>
        </w:numPr>
        <w:rPr>
          <w:rFonts w:eastAsiaTheme="minorHAnsi"/>
          <w:lang w:val="en-GB"/>
        </w:rPr>
      </w:pPr>
      <w:r w:rsidRPr="00374CF1">
        <w:rPr>
          <w:rFonts w:eastAsiaTheme="minorHAnsi"/>
          <w:lang w:val="en-GB"/>
        </w:rPr>
        <w:t xml:space="preserve">building the profile of FNHC across the island </w:t>
      </w:r>
    </w:p>
    <w:p w14:paraId="17F7280D" w14:textId="77777777" w:rsidR="008767FF" w:rsidRPr="00374CF1" w:rsidRDefault="008767FF" w:rsidP="00374CF1">
      <w:pPr>
        <w:pStyle w:val="ListParagraph"/>
        <w:numPr>
          <w:ilvl w:val="0"/>
          <w:numId w:val="46"/>
        </w:numPr>
        <w:rPr>
          <w:rFonts w:eastAsiaTheme="minorHAnsi"/>
          <w:lang w:val="en-GB"/>
        </w:rPr>
      </w:pPr>
      <w:r w:rsidRPr="00374CF1">
        <w:rPr>
          <w:rFonts w:eastAsiaTheme="minorHAnsi"/>
          <w:lang w:val="en-GB"/>
        </w:rPr>
        <w:t>building partnerships where appropriate with other third sector organisations and healthcare providers</w:t>
      </w:r>
    </w:p>
    <w:p w14:paraId="7FC845DF" w14:textId="5577CE53" w:rsidR="008767FF" w:rsidRPr="00444440" w:rsidRDefault="008767FF" w:rsidP="00374CF1">
      <w:pPr>
        <w:pStyle w:val="ListParagraph"/>
        <w:numPr>
          <w:ilvl w:val="0"/>
          <w:numId w:val="46"/>
        </w:numPr>
        <w:rPr>
          <w:rFonts w:eastAsiaTheme="minorHAnsi"/>
          <w:lang w:val="en-GB"/>
        </w:rPr>
      </w:pPr>
      <w:r w:rsidRPr="00374CF1">
        <w:rPr>
          <w:rFonts w:eastAsiaTheme="minorHAnsi"/>
          <w:lang w:val="en-GB"/>
        </w:rPr>
        <w:t xml:space="preserve">organising, delivering and managing fundraising events </w:t>
      </w:r>
      <w:r w:rsidRPr="00374CF1">
        <w:rPr>
          <w:rFonts w:eastAsia="Helvetica Neue Medium"/>
          <w:color w:val="323232"/>
          <w:lang w:val="en-GB"/>
        </w:rPr>
        <w:t xml:space="preserve"> </w:t>
      </w:r>
    </w:p>
    <w:p w14:paraId="5EC0285D" w14:textId="0A7E9D62" w:rsidR="00444440" w:rsidRPr="00374CF1" w:rsidRDefault="00444440" w:rsidP="00444440">
      <w:pPr>
        <w:pStyle w:val="ListParagraph"/>
        <w:rPr>
          <w:rFonts w:eastAsiaTheme="minorHAnsi"/>
          <w:lang w:val="en-GB"/>
        </w:rPr>
      </w:pPr>
    </w:p>
    <w:p w14:paraId="012F9417" w14:textId="7A4FB186" w:rsidR="00476B90" w:rsidRPr="00D95BA0" w:rsidRDefault="00476B90" w:rsidP="0006647D">
      <w:pPr>
        <w:rPr>
          <w:rFonts w:eastAsiaTheme="minorHAnsi"/>
          <w:b/>
          <w:bCs/>
          <w:lang w:val="en-GB"/>
        </w:rPr>
      </w:pPr>
      <w:r w:rsidRPr="00D95BA0">
        <w:rPr>
          <w:rFonts w:eastAsiaTheme="minorHAnsi"/>
          <w:b/>
          <w:bCs/>
          <w:lang w:val="en-GB"/>
        </w:rPr>
        <w:t>Fundraising Support Officer</w:t>
      </w:r>
    </w:p>
    <w:p w14:paraId="4EF6AFC3" w14:textId="32D37205" w:rsidR="00476B90" w:rsidRPr="00476B90" w:rsidRDefault="00476B90" w:rsidP="0006647D">
      <w:pPr>
        <w:rPr>
          <w:rFonts w:eastAsiaTheme="minorHAnsi"/>
          <w:lang w:val="en-GB"/>
        </w:rPr>
      </w:pPr>
      <w:r w:rsidRPr="00476B90">
        <w:rPr>
          <w:rFonts w:eastAsiaTheme="minorHAnsi"/>
          <w:lang w:val="en-GB"/>
        </w:rPr>
        <w:t>The Fundraising Support Officer is responsible for:</w:t>
      </w:r>
    </w:p>
    <w:p w14:paraId="68C19933" w14:textId="753E3751" w:rsidR="00476B90" w:rsidRPr="00374CF1" w:rsidRDefault="00476B90" w:rsidP="00374CF1">
      <w:pPr>
        <w:pStyle w:val="ListParagraph"/>
        <w:numPr>
          <w:ilvl w:val="0"/>
          <w:numId w:val="47"/>
        </w:numPr>
        <w:rPr>
          <w:rFonts w:eastAsiaTheme="minorHAnsi"/>
          <w:lang w:val="en-GB"/>
        </w:rPr>
      </w:pPr>
      <w:r w:rsidRPr="00374CF1">
        <w:rPr>
          <w:rFonts w:eastAsiaTheme="minorHAnsi"/>
          <w:lang w:val="en-GB"/>
        </w:rPr>
        <w:t xml:space="preserve">providing administrative support and fundraising assistance to the Head of Fundraising </w:t>
      </w:r>
    </w:p>
    <w:p w14:paraId="661F3B73" w14:textId="77777777" w:rsidR="00476B90" w:rsidRPr="00374CF1" w:rsidRDefault="00476B90" w:rsidP="00374CF1">
      <w:pPr>
        <w:pStyle w:val="ListParagraph"/>
        <w:numPr>
          <w:ilvl w:val="0"/>
          <w:numId w:val="47"/>
        </w:numPr>
        <w:rPr>
          <w:rFonts w:eastAsiaTheme="minorHAnsi"/>
          <w:lang w:val="en-GB"/>
        </w:rPr>
      </w:pPr>
      <w:r w:rsidRPr="00374CF1">
        <w:rPr>
          <w:rFonts w:eastAsiaTheme="minorHAnsi"/>
          <w:lang w:val="en-GB"/>
        </w:rPr>
        <w:t xml:space="preserve">supporting the implementation of a range of fundraising strategies to raise funds from individuals, community groups, events, companies and grant-making sources </w:t>
      </w:r>
    </w:p>
    <w:p w14:paraId="5738A9A1" w14:textId="77777777" w:rsidR="00476B90" w:rsidRPr="00374CF1" w:rsidRDefault="00476B90" w:rsidP="00374CF1">
      <w:pPr>
        <w:pStyle w:val="ListParagraph"/>
        <w:numPr>
          <w:ilvl w:val="0"/>
          <w:numId w:val="47"/>
        </w:numPr>
        <w:rPr>
          <w:rFonts w:eastAsiaTheme="minorHAnsi"/>
          <w:lang w:val="en-GB"/>
        </w:rPr>
      </w:pPr>
      <w:r w:rsidRPr="00374CF1">
        <w:rPr>
          <w:rFonts w:eastAsiaTheme="minorHAnsi"/>
          <w:lang w:val="en-GB"/>
        </w:rPr>
        <w:t>being a point of contact for all fundraising/donations enquires to the charity</w:t>
      </w:r>
    </w:p>
    <w:p w14:paraId="1A3F2BA0" w14:textId="0E4EDA9A" w:rsidR="00476B90" w:rsidRPr="00374CF1" w:rsidRDefault="00476B90" w:rsidP="00A33A94">
      <w:pPr>
        <w:pStyle w:val="ListParagraph"/>
        <w:numPr>
          <w:ilvl w:val="0"/>
          <w:numId w:val="47"/>
        </w:numPr>
        <w:rPr>
          <w:rFonts w:eastAsiaTheme="minorHAnsi" w:cs="Arial"/>
          <w:lang w:val="en-GB"/>
        </w:rPr>
      </w:pPr>
      <w:r w:rsidRPr="00374CF1">
        <w:rPr>
          <w:rFonts w:eastAsiaTheme="minorHAnsi"/>
          <w:lang w:val="en-GB"/>
        </w:rPr>
        <w:t xml:space="preserve">being the main administrator/user for the </w:t>
      </w:r>
      <w:proofErr w:type="spellStart"/>
      <w:r w:rsidRPr="00374CF1">
        <w:rPr>
          <w:rFonts w:eastAsiaTheme="minorHAnsi"/>
          <w:lang w:val="en-GB"/>
        </w:rPr>
        <w:t>Donorflex</w:t>
      </w:r>
      <w:proofErr w:type="spellEnd"/>
      <w:r w:rsidRPr="00374CF1">
        <w:rPr>
          <w:rFonts w:eastAsiaTheme="minorHAnsi"/>
          <w:lang w:val="en-GB"/>
        </w:rPr>
        <w:t xml:space="preserve"> system, which is FNHC’s Customer Relationship Management (CRM) system</w:t>
      </w:r>
    </w:p>
    <w:p w14:paraId="3951AFCE" w14:textId="77777777" w:rsidR="00B850FE" w:rsidRPr="00856DE7" w:rsidRDefault="00942F86" w:rsidP="00A50DC5">
      <w:pPr>
        <w:pStyle w:val="Heading1"/>
        <w:ind w:hanging="530"/>
      </w:pPr>
      <w:bookmarkStart w:id="4" w:name="_Toc204681798"/>
      <w:r w:rsidRPr="00856DE7">
        <w:t>POLICY</w:t>
      </w:r>
      <w:bookmarkEnd w:id="4"/>
    </w:p>
    <w:p w14:paraId="59548A82" w14:textId="36FD39CB" w:rsidR="00A50DC5" w:rsidRDefault="00476B90" w:rsidP="00A33A94">
      <w:pPr>
        <w:pStyle w:val="Heading2"/>
      </w:pPr>
      <w:bookmarkStart w:id="5" w:name="_Toc204681799"/>
      <w:r>
        <w:t>Key Principles</w:t>
      </w:r>
      <w:bookmarkEnd w:id="5"/>
    </w:p>
    <w:p w14:paraId="56BDAD95" w14:textId="77777777" w:rsidR="00476B90" w:rsidRDefault="00476B90" w:rsidP="00476B90">
      <w:r>
        <w:t xml:space="preserve">FNHC will be honest about how donations are used to fulfil the aims of the organisation, open about the methods used to raise funds and who we work with, respectful to the wishes, preferences, personal information and circumstances of the people we interact with and will take all steps necessary to comply with the law and sector fundraising practice standards. </w:t>
      </w:r>
    </w:p>
    <w:p w14:paraId="68D9AC68" w14:textId="03562680" w:rsidR="00476B90" w:rsidRDefault="00476B90" w:rsidP="00476B90">
      <w:r>
        <w:t>Nobody directly or indirectly employed by or volunteering for FNHC shall accept commissions or bonuses for fundraising activities on behalf of FNHC</w:t>
      </w:r>
      <w:r w:rsidR="00A26A2D">
        <w:t>.</w:t>
      </w:r>
    </w:p>
    <w:p w14:paraId="0B4F3C7A" w14:textId="1BC8643D" w:rsidR="00476B90" w:rsidRDefault="00476B90" w:rsidP="00476B90">
      <w:r>
        <w:t xml:space="preserve">FNHC will always be respectful. This means being mindful of and sensitive to any </w:t>
      </w:r>
      <w:proofErr w:type="gramStart"/>
      <w:r>
        <w:t>particular need</w:t>
      </w:r>
      <w:proofErr w:type="gramEnd"/>
      <w:r>
        <w:t xml:space="preserve"> that a donor may have. It also means striving to respect the wishes and preferences of the donor. FNHC will treat donors fairly and will not discriminate against any group or individual. </w:t>
      </w:r>
    </w:p>
    <w:p w14:paraId="2C42BF67" w14:textId="00B94FE1" w:rsidR="00476B90" w:rsidRDefault="00476B90" w:rsidP="00476B90">
      <w:r>
        <w:lastRenderedPageBreak/>
        <w:t>FNHC will respond appropriately to the individual needs of our donors and will consider all requests to adapt our approach (tone, language, communication technique) to suit the needs and requirements of the donor.</w:t>
      </w:r>
    </w:p>
    <w:p w14:paraId="7B7B2316" w14:textId="0D6514E3" w:rsidR="00476B90" w:rsidRDefault="00476B90" w:rsidP="00476B90">
      <w:r>
        <w:t xml:space="preserve">If FNHC fundraisers, those employed by FNHC or fundraising on behalf of FNHC, identify signs of donor vulnerability, they will respond appropriately and according to the principles of being legal, open, honest and respectful. </w:t>
      </w:r>
    </w:p>
    <w:p w14:paraId="549C892F" w14:textId="7789204E" w:rsidR="00476B90" w:rsidRDefault="00476B90" w:rsidP="00476B90">
      <w:r>
        <w:t>Staff must take all necessary steps to understand if the donor is able to make an informed decision about donating to FNHC and respond appropriately. If a donor is deemed unable to make an informed decision the member of staff must not accept the donation.</w:t>
      </w:r>
    </w:p>
    <w:p w14:paraId="19673245" w14:textId="6D31BC12" w:rsidR="00476B90" w:rsidRDefault="00476B90" w:rsidP="00476B90">
      <w:r>
        <w:t xml:space="preserve">Before </w:t>
      </w:r>
      <w:proofErr w:type="gramStart"/>
      <w:r>
        <w:t>fundraising</w:t>
      </w:r>
      <w:proofErr w:type="gramEnd"/>
      <w:r>
        <w:t xml:space="preserve"> activity can be initiated approval must be sought from the</w:t>
      </w:r>
      <w:r w:rsidR="006F26C9">
        <w:t xml:space="preserve"> </w:t>
      </w:r>
      <w:r>
        <w:t>Senior Leadership Team.</w:t>
      </w:r>
    </w:p>
    <w:p w14:paraId="60433EB6" w14:textId="77777777" w:rsidR="00444440" w:rsidRPr="00476B90" w:rsidRDefault="00444440" w:rsidP="00476B90"/>
    <w:p w14:paraId="556EEDAA" w14:textId="30395970" w:rsidR="002856D3" w:rsidRDefault="00476B90" w:rsidP="002856D3">
      <w:pPr>
        <w:pStyle w:val="Heading2"/>
      </w:pPr>
      <w:bookmarkStart w:id="6" w:name="_Toc204681800"/>
      <w:r>
        <w:t>Social Responsibility in Gambling</w:t>
      </w:r>
      <w:bookmarkEnd w:id="6"/>
    </w:p>
    <w:p w14:paraId="38CC6E1B" w14:textId="3E88006F" w:rsidR="00476B90" w:rsidRDefault="00476B90" w:rsidP="006C31F8">
      <w:r>
        <w:t xml:space="preserve">The Jersey Gambling Commission regulates gambling in the public interest. </w:t>
      </w:r>
      <w:r w:rsidR="006C31F8">
        <w:t xml:space="preserve"> </w:t>
      </w:r>
      <w:r>
        <w:t xml:space="preserve">Its guiding principles </w:t>
      </w:r>
      <w:proofErr w:type="gramStart"/>
      <w:r>
        <w:t>are that</w:t>
      </w:r>
      <w:proofErr w:type="gramEnd"/>
      <w:r>
        <w:t>:</w:t>
      </w:r>
    </w:p>
    <w:p w14:paraId="32E18205" w14:textId="77777777" w:rsidR="00476B90" w:rsidRDefault="00476B90" w:rsidP="00374CF1">
      <w:pPr>
        <w:pStyle w:val="ListParagraph"/>
        <w:numPr>
          <w:ilvl w:val="0"/>
          <w:numId w:val="48"/>
        </w:numPr>
      </w:pPr>
      <w:r>
        <w:t>Gambling should be regulated in accordance with generally accepted international standards to prevent fraud and money laundering, and should not be permitted to be a source of crime associated with crime and disorder, or being used to support crime</w:t>
      </w:r>
    </w:p>
    <w:p w14:paraId="211C2EB3" w14:textId="77777777" w:rsidR="00476B90" w:rsidRDefault="00476B90" w:rsidP="00374CF1">
      <w:pPr>
        <w:pStyle w:val="ListParagraph"/>
        <w:numPr>
          <w:ilvl w:val="0"/>
          <w:numId w:val="48"/>
        </w:numPr>
      </w:pPr>
      <w:r>
        <w:t>Gambling should be verifiably fair to consumers of those services ensuring that gambling is conducted in a fair and open manner</w:t>
      </w:r>
    </w:p>
    <w:p w14:paraId="3FC28750" w14:textId="770F8DB5" w:rsidR="00476B90" w:rsidRDefault="00476B90" w:rsidP="00374CF1">
      <w:pPr>
        <w:pStyle w:val="ListParagraph"/>
        <w:numPr>
          <w:ilvl w:val="0"/>
          <w:numId w:val="48"/>
        </w:numPr>
      </w:pPr>
      <w:r>
        <w:t>Gambling should always be conducted responsibly and with safeguards necessary to protect children and vulnerable people</w:t>
      </w:r>
    </w:p>
    <w:p w14:paraId="2328FA13" w14:textId="176D9732" w:rsidR="00476B90" w:rsidRDefault="00476B90" w:rsidP="00476B90">
      <w:r>
        <w:t xml:space="preserve">FNHC is committed to ensuring that any fundraising gambling activities are operated in a secure, fair and socially responsible way and endorse responsible gambling amongst its </w:t>
      </w:r>
      <w:r w:rsidR="00E11478">
        <w:t xml:space="preserve">staff, </w:t>
      </w:r>
      <w:r>
        <w:t xml:space="preserve">supporters and the public. </w:t>
      </w:r>
      <w:r w:rsidR="00CA42A8">
        <w:t xml:space="preserve">FNHC will ensure </w:t>
      </w:r>
      <w:r w:rsidR="00CA42A8" w:rsidRPr="00CA42A8">
        <w:t xml:space="preserve">that relevant staff </w:t>
      </w:r>
      <w:r w:rsidR="00C06D77">
        <w:t xml:space="preserve">complete </w:t>
      </w:r>
      <w:r w:rsidR="00CA42A8">
        <w:t xml:space="preserve">gambling awareness </w:t>
      </w:r>
      <w:r w:rsidR="00C06D77">
        <w:t xml:space="preserve">training </w:t>
      </w:r>
      <w:r w:rsidR="005D64C9">
        <w:t xml:space="preserve">via its </w:t>
      </w:r>
      <w:r w:rsidR="005D64C9" w:rsidRPr="005D64C9">
        <w:t>online learning platform</w:t>
      </w:r>
      <w:r w:rsidR="00776FF6">
        <w:t>,</w:t>
      </w:r>
      <w:r w:rsidR="005D64C9" w:rsidRPr="005D64C9">
        <w:t xml:space="preserve"> </w:t>
      </w:r>
      <w:r w:rsidR="00CA42A8">
        <w:t xml:space="preserve">on </w:t>
      </w:r>
      <w:proofErr w:type="gramStart"/>
      <w:r w:rsidR="00CA42A8" w:rsidRPr="00CA42A8">
        <w:t>induction</w:t>
      </w:r>
      <w:proofErr w:type="gramEnd"/>
      <w:r w:rsidR="00CA42A8" w:rsidRPr="00CA42A8">
        <w:t xml:space="preserve"> and/or on a</w:t>
      </w:r>
      <w:r w:rsidR="00825873">
        <w:t xml:space="preserve">n annual </w:t>
      </w:r>
      <w:r w:rsidR="00CA42A8" w:rsidRPr="00CA42A8">
        <w:t>update basis</w:t>
      </w:r>
      <w:r w:rsidR="00871CD2">
        <w:t>.</w:t>
      </w:r>
      <w:r w:rsidR="00CA42A8" w:rsidRPr="00CA42A8">
        <w:t xml:space="preserve">  </w:t>
      </w:r>
    </w:p>
    <w:p w14:paraId="69ED6E4B" w14:textId="77777777" w:rsidR="00444440" w:rsidRPr="00476B90" w:rsidRDefault="00444440" w:rsidP="00476B90"/>
    <w:p w14:paraId="40C2DB64" w14:textId="673727A5" w:rsidR="00796F5C" w:rsidRDefault="00476B90" w:rsidP="00796F5C">
      <w:pPr>
        <w:pStyle w:val="Heading2"/>
      </w:pPr>
      <w:bookmarkStart w:id="7" w:name="_Toc204681801"/>
      <w:r>
        <w:t>Donor Research</w:t>
      </w:r>
      <w:bookmarkEnd w:id="7"/>
    </w:p>
    <w:p w14:paraId="60005EA3" w14:textId="6228A7F9" w:rsidR="002856D3" w:rsidRPr="002856D3" w:rsidRDefault="00476B90" w:rsidP="002856D3">
      <w:r>
        <w:t xml:space="preserve">Research on donors and prospects is an acceptable and intrinsic part of fundraising. Data surrounding individuals and companies who wish to be associated with Charitable Funds will be stored in a confidential file. It must be stressed that any approaches undertaken by FNHC will be handled in a sensitive and appropriate manner and comply with current data protection legislation. Donor and prospect research activity is limited to the Head of Fundraising and Senior Leadership Team, with these members of staff fully briefed on the application of </w:t>
      </w:r>
      <w:bookmarkStart w:id="8" w:name="_Hlk199837580"/>
      <w:r w:rsidR="00751A2C">
        <w:t xml:space="preserve">local data protection legislation </w:t>
      </w:r>
      <w:bookmarkEnd w:id="8"/>
      <w:r>
        <w:t>to this activity.</w:t>
      </w:r>
    </w:p>
    <w:p w14:paraId="293A62AB" w14:textId="528EB480" w:rsidR="002856D3" w:rsidRDefault="00476B90" w:rsidP="00476B90">
      <w:pPr>
        <w:pStyle w:val="Heading2"/>
      </w:pPr>
      <w:bookmarkStart w:id="9" w:name="_Toc204681802"/>
      <w:r>
        <w:lastRenderedPageBreak/>
        <w:t>Database of Donors</w:t>
      </w:r>
      <w:bookmarkEnd w:id="9"/>
    </w:p>
    <w:p w14:paraId="71E0260B" w14:textId="65A9E610" w:rsidR="00476B90" w:rsidRDefault="00476B90" w:rsidP="00476B90">
      <w:r>
        <w:t xml:space="preserve">The Head of Fundraising will coordinate the soliciting of funds from individuals, foundations, businesses, corporations and organisations </w:t>
      </w:r>
      <w:r w:rsidR="00D143CA">
        <w:t>to</w:t>
      </w:r>
      <w:r>
        <w:t xml:space="preserve"> avoid an excessive number of solicitations in the name of FNHC.</w:t>
      </w:r>
    </w:p>
    <w:p w14:paraId="3F206CDB" w14:textId="3A3EE0A1" w:rsidR="00476B90" w:rsidRDefault="00476B90" w:rsidP="00476B90">
      <w:r>
        <w:t>The Head of Fundraising shall be responsible for the development, maintenance and compliance of a record of donors and prospects</w:t>
      </w:r>
      <w:r w:rsidRPr="00B21954">
        <w:t>.</w:t>
      </w:r>
    </w:p>
    <w:p w14:paraId="5634C680" w14:textId="624E06F2" w:rsidR="00476B90" w:rsidRDefault="00476B90" w:rsidP="00476B90">
      <w:r>
        <w:t>FNHC shall seek</w:t>
      </w:r>
      <w:r w:rsidR="00825873">
        <w:t>,</w:t>
      </w:r>
      <w:r>
        <w:t xml:space="preserve"> from managers and staff, details of donors which may be used to solicit support.</w:t>
      </w:r>
    </w:p>
    <w:p w14:paraId="1A2D8F61" w14:textId="5FA2612D" w:rsidR="00476B90" w:rsidRDefault="00476B90" w:rsidP="00476B90">
      <w:r>
        <w:t xml:space="preserve">Data </w:t>
      </w:r>
      <w:r w:rsidR="009D7435">
        <w:t xml:space="preserve">will be held </w:t>
      </w:r>
      <w:r w:rsidR="009625A3">
        <w:t xml:space="preserve">in accordance with </w:t>
      </w:r>
      <w:r w:rsidR="00BA281A">
        <w:t xml:space="preserve">the Data Protection (Jersey) Law 2018 and </w:t>
      </w:r>
      <w:r w:rsidR="0072088D">
        <w:t xml:space="preserve">FNHC’s </w:t>
      </w:r>
      <w:r w:rsidR="00592F3E">
        <w:t>Records Retention Schedule.</w:t>
      </w:r>
    </w:p>
    <w:p w14:paraId="47AF8118" w14:textId="068A30B0" w:rsidR="00476B90" w:rsidRDefault="00476B90" w:rsidP="00476B90">
      <w:r>
        <w:t>FNHC will respect the privacy and contact preferences of all donors and will respond promptly to requests to amend contact details, including the removal of contact details from the fundraising database.</w:t>
      </w:r>
    </w:p>
    <w:p w14:paraId="3F224283" w14:textId="77777777" w:rsidR="00BF5D28" w:rsidRDefault="00BF5D28" w:rsidP="00476B90"/>
    <w:p w14:paraId="7E7A7FBD" w14:textId="1FA0DD71" w:rsidR="00A1722D" w:rsidRDefault="00A1722D" w:rsidP="00A1722D">
      <w:pPr>
        <w:pStyle w:val="Heading2"/>
      </w:pPr>
      <w:bookmarkStart w:id="10" w:name="_Toc204681803"/>
      <w:r>
        <w:t>Donor Recognition</w:t>
      </w:r>
      <w:bookmarkEnd w:id="10"/>
    </w:p>
    <w:p w14:paraId="6A0ED784" w14:textId="32E28655" w:rsidR="00A1722D" w:rsidRDefault="00A1722D" w:rsidP="00A1722D">
      <w:r>
        <w:t>A donor to FNHC is entitled to appreciation for their donation. Each donation will be acknowledged in writing by a member of the Fundraising Team and</w:t>
      </w:r>
      <w:r w:rsidR="007676D0">
        <w:t>/or</w:t>
      </w:r>
      <w:r>
        <w:t xml:space="preserve"> by the CEO</w:t>
      </w:r>
      <w:r w:rsidR="007676D0">
        <w:t>.</w:t>
      </w:r>
      <w:r>
        <w:t xml:space="preserve"> </w:t>
      </w:r>
    </w:p>
    <w:p w14:paraId="795BF052" w14:textId="00DFEF18" w:rsidR="00A1722D" w:rsidRDefault="00A1722D" w:rsidP="00A1722D">
      <w:r>
        <w:t>With their permission, sponsors’ names may be published in the FNHC’s Annual</w:t>
      </w:r>
      <w:r w:rsidR="00751A2C">
        <w:t>/Impact</w:t>
      </w:r>
      <w:r>
        <w:t xml:space="preserve"> Report</w:t>
      </w:r>
      <w:r w:rsidR="00751A2C">
        <w:t>s</w:t>
      </w:r>
      <w:r>
        <w:t>, newsletter, website and/or social media.</w:t>
      </w:r>
    </w:p>
    <w:p w14:paraId="35E9CB9E" w14:textId="77777777" w:rsidR="00BF5D28" w:rsidRDefault="00BF5D28" w:rsidP="00A1722D"/>
    <w:p w14:paraId="678D81B6" w14:textId="4D4C73BA" w:rsidR="00A1722D" w:rsidRDefault="00A1722D" w:rsidP="00A1722D">
      <w:pPr>
        <w:pStyle w:val="Heading2"/>
      </w:pPr>
      <w:bookmarkStart w:id="11" w:name="_Toc204681804"/>
      <w:r>
        <w:t>Acceptance and refusal of donations or gifts</w:t>
      </w:r>
      <w:bookmarkEnd w:id="11"/>
      <w:r>
        <w:t xml:space="preserve">  </w:t>
      </w:r>
    </w:p>
    <w:p w14:paraId="7781A44C" w14:textId="1F3F107C" w:rsidR="00A1722D" w:rsidRPr="00A1722D" w:rsidRDefault="00A1722D" w:rsidP="006C31F8">
      <w:pPr>
        <w:rPr>
          <w:rFonts w:eastAsiaTheme="minorHAnsi"/>
          <w:lang w:val="en-GB"/>
        </w:rPr>
      </w:pPr>
      <w:r w:rsidRPr="00A1722D">
        <w:rPr>
          <w:rFonts w:eastAsiaTheme="minorHAnsi"/>
          <w:lang w:val="en-GB"/>
        </w:rPr>
        <w:t xml:space="preserve">In deciding whether to accept or decline a donation or gift FNHC will consider the charity's best overall interest and will not accept donations from donors whose activities appear to be in direct conflict with our charitable aims and objectives. </w:t>
      </w:r>
    </w:p>
    <w:p w14:paraId="77A36360" w14:textId="2441C3FE" w:rsidR="00A1722D" w:rsidRPr="00A1722D" w:rsidRDefault="00203EF0" w:rsidP="006C31F8">
      <w:pPr>
        <w:rPr>
          <w:rFonts w:eastAsiaTheme="minorHAnsi"/>
          <w:lang w:val="en-GB"/>
        </w:rPr>
      </w:pPr>
      <w:r w:rsidRPr="00A1722D">
        <w:rPr>
          <w:rFonts w:eastAsiaTheme="minorHAnsi"/>
          <w:lang w:val="en-GB"/>
        </w:rPr>
        <w:t>Additionally,</w:t>
      </w:r>
      <w:r w:rsidR="00A1722D" w:rsidRPr="00A1722D">
        <w:rPr>
          <w:rFonts w:eastAsiaTheme="minorHAnsi"/>
          <w:lang w:val="en-GB"/>
        </w:rPr>
        <w:t xml:space="preserve"> FNHC will not work with companies or individuals who participate in activities which: </w:t>
      </w:r>
    </w:p>
    <w:p w14:paraId="52284638" w14:textId="77777777" w:rsidR="00A1722D" w:rsidRPr="00B02EB5" w:rsidRDefault="00A1722D" w:rsidP="00B02EB5">
      <w:pPr>
        <w:pStyle w:val="ListParagraph"/>
        <w:numPr>
          <w:ilvl w:val="0"/>
          <w:numId w:val="49"/>
        </w:numPr>
        <w:rPr>
          <w:rFonts w:eastAsiaTheme="minorHAnsi"/>
          <w:lang w:val="en-GB"/>
        </w:rPr>
      </w:pPr>
      <w:r w:rsidRPr="00B02EB5">
        <w:rPr>
          <w:rFonts w:eastAsiaTheme="minorHAnsi"/>
          <w:lang w:val="en-GB"/>
        </w:rPr>
        <w:t xml:space="preserve">could cause detriment to the charity’s reputation </w:t>
      </w:r>
    </w:p>
    <w:p w14:paraId="6E1AC55B" w14:textId="77777777" w:rsidR="00A1722D" w:rsidRPr="00B02EB5" w:rsidRDefault="00A1722D" w:rsidP="00B02EB5">
      <w:pPr>
        <w:pStyle w:val="ListParagraph"/>
        <w:numPr>
          <w:ilvl w:val="0"/>
          <w:numId w:val="49"/>
        </w:numPr>
        <w:rPr>
          <w:rFonts w:eastAsiaTheme="minorHAnsi"/>
          <w:lang w:val="en-GB"/>
        </w:rPr>
      </w:pPr>
      <w:r w:rsidRPr="00B02EB5">
        <w:rPr>
          <w:rFonts w:eastAsiaTheme="minorHAnsi"/>
          <w:lang w:val="en-GB"/>
        </w:rPr>
        <w:t>will disproportionately decrease the amount of donations to further the work of the charity</w:t>
      </w:r>
    </w:p>
    <w:p w14:paraId="14122D4C" w14:textId="77777777" w:rsidR="00A1722D" w:rsidRPr="00B02EB5" w:rsidRDefault="00A1722D" w:rsidP="00B02EB5">
      <w:pPr>
        <w:pStyle w:val="ListParagraph"/>
        <w:numPr>
          <w:ilvl w:val="0"/>
          <w:numId w:val="49"/>
        </w:numPr>
        <w:rPr>
          <w:rFonts w:eastAsiaTheme="minorHAnsi"/>
          <w:lang w:val="en-GB"/>
        </w:rPr>
      </w:pPr>
      <w:r w:rsidRPr="00B02EB5">
        <w:rPr>
          <w:rFonts w:eastAsiaTheme="minorHAnsi"/>
          <w:lang w:val="en-GB"/>
        </w:rPr>
        <w:t>undermine our vision and values</w:t>
      </w:r>
    </w:p>
    <w:p w14:paraId="18606C31" w14:textId="77777777" w:rsidR="00A1722D" w:rsidRPr="00B02EB5" w:rsidRDefault="00A1722D" w:rsidP="00B02EB5">
      <w:pPr>
        <w:pStyle w:val="ListParagraph"/>
        <w:numPr>
          <w:ilvl w:val="0"/>
          <w:numId w:val="49"/>
        </w:numPr>
        <w:rPr>
          <w:rFonts w:eastAsiaTheme="minorHAnsi"/>
          <w:lang w:val="en-GB"/>
        </w:rPr>
      </w:pPr>
      <w:r w:rsidRPr="00B02EB5">
        <w:rPr>
          <w:rFonts w:eastAsiaTheme="minorHAnsi"/>
          <w:lang w:val="en-GB"/>
        </w:rPr>
        <w:t>are associated with unsuitable products, corporate or individual e.g. arms dealings and tobacco</w:t>
      </w:r>
    </w:p>
    <w:p w14:paraId="46235464" w14:textId="77777777" w:rsidR="00A1722D" w:rsidRPr="00B02EB5" w:rsidRDefault="00A1722D" w:rsidP="00B02EB5">
      <w:pPr>
        <w:pStyle w:val="ListParagraph"/>
        <w:numPr>
          <w:ilvl w:val="0"/>
          <w:numId w:val="49"/>
        </w:numPr>
        <w:rPr>
          <w:rFonts w:eastAsiaTheme="minorHAnsi"/>
          <w:lang w:val="en-GB"/>
        </w:rPr>
      </w:pPr>
      <w:r w:rsidRPr="00B02EB5">
        <w:rPr>
          <w:rFonts w:eastAsiaTheme="minorHAnsi"/>
          <w:lang w:val="en-GB"/>
        </w:rPr>
        <w:t>are from individuals, groups or organisations which are known to take advantage of older or vulnerable people</w:t>
      </w:r>
    </w:p>
    <w:p w14:paraId="6642517C" w14:textId="65408105" w:rsidR="00A1722D" w:rsidRPr="00B02EB5" w:rsidRDefault="00A1722D" w:rsidP="00B02EB5">
      <w:pPr>
        <w:pStyle w:val="ListParagraph"/>
        <w:numPr>
          <w:ilvl w:val="0"/>
          <w:numId w:val="49"/>
        </w:numPr>
        <w:rPr>
          <w:rFonts w:eastAsiaTheme="minorHAnsi"/>
          <w:lang w:val="en-GB"/>
        </w:rPr>
      </w:pPr>
      <w:r w:rsidRPr="00B02EB5">
        <w:rPr>
          <w:rFonts w:eastAsiaTheme="minorHAnsi"/>
          <w:lang w:val="en-GB"/>
        </w:rPr>
        <w:t xml:space="preserve">are personal gifts to FNHC staff members, which should be </w:t>
      </w:r>
      <w:proofErr w:type="gramStart"/>
      <w:r w:rsidRPr="00B02EB5">
        <w:rPr>
          <w:rFonts w:eastAsiaTheme="minorHAnsi"/>
          <w:lang w:val="en-GB"/>
        </w:rPr>
        <w:t>discouraged at all times</w:t>
      </w:r>
      <w:proofErr w:type="gramEnd"/>
      <w:r w:rsidRPr="00B02EB5">
        <w:rPr>
          <w:rFonts w:eastAsiaTheme="minorHAnsi"/>
          <w:lang w:val="en-GB"/>
        </w:rPr>
        <w:t>, or are from unknown sources of funding</w:t>
      </w:r>
    </w:p>
    <w:p w14:paraId="51224A3C" w14:textId="10AB70D9" w:rsidR="00A1722D" w:rsidRPr="00A1722D" w:rsidRDefault="00A1722D" w:rsidP="00B02EB5">
      <w:pPr>
        <w:rPr>
          <w:rFonts w:eastAsiaTheme="minorHAnsi" w:cs="Arial"/>
          <w:szCs w:val="22"/>
          <w:lang w:val="en-GB"/>
        </w:rPr>
      </w:pPr>
      <w:r w:rsidRPr="00A1722D">
        <w:rPr>
          <w:rFonts w:eastAsiaTheme="minorHAnsi" w:cs="Arial"/>
          <w:szCs w:val="22"/>
          <w:lang w:val="en-GB"/>
        </w:rPr>
        <w:lastRenderedPageBreak/>
        <w:t xml:space="preserve">FNHC will take reasonable steps to determine the ultimate source of funding for each gift and satisfy itself that the funds do not derive, directly or indirectly, from activity that: </w:t>
      </w:r>
    </w:p>
    <w:p w14:paraId="2B86D25D" w14:textId="77777777" w:rsidR="00A1722D" w:rsidRPr="00B02EB5" w:rsidRDefault="00A1722D" w:rsidP="00B02EB5">
      <w:pPr>
        <w:pStyle w:val="ListParagraph"/>
        <w:numPr>
          <w:ilvl w:val="0"/>
          <w:numId w:val="50"/>
        </w:numPr>
        <w:rPr>
          <w:rFonts w:eastAsiaTheme="minorHAnsi"/>
          <w:lang w:val="en-GB"/>
        </w:rPr>
      </w:pPr>
      <w:r w:rsidRPr="00B02EB5">
        <w:rPr>
          <w:rFonts w:eastAsiaTheme="minorHAnsi"/>
          <w:lang w:val="en-GB"/>
        </w:rPr>
        <w:t>was or is illegal</w:t>
      </w:r>
    </w:p>
    <w:p w14:paraId="6E410935" w14:textId="77777777" w:rsidR="00A1722D" w:rsidRPr="00B02EB5" w:rsidRDefault="00A1722D" w:rsidP="00B02EB5">
      <w:pPr>
        <w:pStyle w:val="ListParagraph"/>
        <w:numPr>
          <w:ilvl w:val="0"/>
          <w:numId w:val="50"/>
        </w:numPr>
        <w:rPr>
          <w:rFonts w:eastAsiaTheme="minorHAnsi"/>
          <w:lang w:val="en-GB"/>
        </w:rPr>
      </w:pPr>
      <w:r w:rsidRPr="00B02EB5">
        <w:rPr>
          <w:rFonts w:eastAsiaTheme="minorHAnsi"/>
          <w:lang w:val="en-GB"/>
        </w:rPr>
        <w:t>may potentially harm the relationships with other donors, service users, stakeholders or volunteers</w:t>
      </w:r>
    </w:p>
    <w:p w14:paraId="500B24C6" w14:textId="77777777" w:rsidR="00A1722D" w:rsidRPr="00B02EB5" w:rsidRDefault="00A1722D" w:rsidP="00B02EB5">
      <w:pPr>
        <w:pStyle w:val="ListParagraph"/>
        <w:numPr>
          <w:ilvl w:val="0"/>
          <w:numId w:val="50"/>
        </w:numPr>
        <w:rPr>
          <w:rFonts w:eastAsiaTheme="minorHAnsi"/>
          <w:lang w:val="en-GB"/>
        </w:rPr>
      </w:pPr>
      <w:r w:rsidRPr="00B02EB5">
        <w:rPr>
          <w:rFonts w:eastAsiaTheme="minorHAnsi"/>
          <w:lang w:val="en-GB"/>
        </w:rPr>
        <w:t>may expose FNHC to undue adverse publicity or reputational risk</w:t>
      </w:r>
    </w:p>
    <w:p w14:paraId="373AF16A" w14:textId="7B629CE6" w:rsidR="00A1722D" w:rsidRPr="00B02EB5" w:rsidRDefault="00A1722D" w:rsidP="00B02EB5">
      <w:pPr>
        <w:pStyle w:val="ListParagraph"/>
        <w:numPr>
          <w:ilvl w:val="0"/>
          <w:numId w:val="50"/>
        </w:numPr>
        <w:rPr>
          <w:rFonts w:eastAsiaTheme="minorHAnsi"/>
          <w:lang w:val="en-GB"/>
        </w:rPr>
      </w:pPr>
      <w:r w:rsidRPr="00B02EB5">
        <w:rPr>
          <w:rFonts w:eastAsiaTheme="minorHAnsi"/>
          <w:lang w:val="en-GB"/>
        </w:rPr>
        <w:t xml:space="preserve">may require unacceptable expenditure or additional charity resources </w:t>
      </w:r>
    </w:p>
    <w:p w14:paraId="57D34363" w14:textId="6D87EA61" w:rsidR="00A1722D" w:rsidRDefault="00A1722D" w:rsidP="002751BE">
      <w:pPr>
        <w:rPr>
          <w:rFonts w:eastAsiaTheme="minorHAnsi" w:cs="Arial"/>
          <w:szCs w:val="22"/>
          <w:lang w:val="en-GB"/>
        </w:rPr>
      </w:pPr>
      <w:r w:rsidRPr="00A1722D">
        <w:rPr>
          <w:rFonts w:eastAsiaTheme="minorHAnsi" w:cs="Arial"/>
          <w:szCs w:val="22"/>
          <w:lang w:val="en-GB"/>
        </w:rPr>
        <w:t xml:space="preserve">If a donation is received which may not be acceptable under the terms of this policy the </w:t>
      </w:r>
      <w:r>
        <w:rPr>
          <w:rFonts w:eastAsiaTheme="minorHAnsi" w:cs="Arial"/>
          <w:szCs w:val="22"/>
          <w:lang w:val="en-GB"/>
        </w:rPr>
        <w:t xml:space="preserve">Head of </w:t>
      </w:r>
      <w:r w:rsidRPr="00A1722D">
        <w:rPr>
          <w:rFonts w:eastAsiaTheme="minorHAnsi" w:cs="Arial"/>
          <w:szCs w:val="22"/>
          <w:lang w:val="en-GB"/>
        </w:rPr>
        <w:t xml:space="preserve">Fundraising will alert the CEO at the earliest opportunity. This will be researched </w:t>
      </w:r>
      <w:proofErr w:type="gramStart"/>
      <w:r w:rsidRPr="00A1722D">
        <w:rPr>
          <w:rFonts w:eastAsiaTheme="minorHAnsi" w:cs="Arial"/>
          <w:szCs w:val="22"/>
          <w:lang w:val="en-GB"/>
        </w:rPr>
        <w:t>further</w:t>
      </w:r>
      <w:proofErr w:type="gramEnd"/>
      <w:r w:rsidRPr="00A1722D">
        <w:rPr>
          <w:rFonts w:eastAsiaTheme="minorHAnsi" w:cs="Arial"/>
          <w:szCs w:val="22"/>
          <w:lang w:val="en-GB"/>
        </w:rPr>
        <w:t xml:space="preserve"> and the matter will be referred to the </w:t>
      </w:r>
      <w:r>
        <w:rPr>
          <w:rFonts w:eastAsiaTheme="minorHAnsi" w:cs="Arial"/>
          <w:szCs w:val="22"/>
          <w:lang w:val="en-GB"/>
        </w:rPr>
        <w:t xml:space="preserve">Committee </w:t>
      </w:r>
      <w:r w:rsidRPr="00A1722D">
        <w:rPr>
          <w:rFonts w:eastAsiaTheme="minorHAnsi" w:cs="Arial"/>
          <w:szCs w:val="22"/>
          <w:lang w:val="en-GB"/>
        </w:rPr>
        <w:t>with the necessary information regarding the donation.</w:t>
      </w:r>
    </w:p>
    <w:p w14:paraId="568C3BF8" w14:textId="77777777" w:rsidR="00BF5D28" w:rsidRDefault="00BF5D28" w:rsidP="002751BE">
      <w:pPr>
        <w:rPr>
          <w:rFonts w:eastAsiaTheme="minorHAnsi" w:cs="Arial"/>
          <w:szCs w:val="22"/>
          <w:lang w:val="en-GB"/>
        </w:rPr>
      </w:pPr>
    </w:p>
    <w:p w14:paraId="325A4CAA" w14:textId="0AD353F2" w:rsidR="00A1722D" w:rsidRDefault="00A1722D" w:rsidP="00A1722D">
      <w:pPr>
        <w:pStyle w:val="Heading2"/>
      </w:pPr>
      <w:bookmarkStart w:id="12" w:name="_Toc204681805"/>
      <w:r>
        <w:t>Donation sharing with other organisations</w:t>
      </w:r>
      <w:bookmarkEnd w:id="12"/>
    </w:p>
    <w:p w14:paraId="2D178B72" w14:textId="5438D140" w:rsidR="005E2409" w:rsidRDefault="00A1722D" w:rsidP="00A1722D">
      <w:pPr>
        <w:rPr>
          <w:rFonts w:eastAsiaTheme="minorHAnsi"/>
        </w:rPr>
      </w:pPr>
      <w:r w:rsidRPr="00A1722D">
        <w:rPr>
          <w:rFonts w:eastAsiaTheme="minorHAnsi"/>
        </w:rPr>
        <w:t xml:space="preserve">From time to time, FNHC may receive </w:t>
      </w:r>
      <w:proofErr w:type="gramStart"/>
      <w:r w:rsidRPr="00A1722D">
        <w:rPr>
          <w:rFonts w:eastAsiaTheme="minorHAnsi"/>
        </w:rPr>
        <w:t>a legacy</w:t>
      </w:r>
      <w:proofErr w:type="gramEnd"/>
      <w:r w:rsidRPr="00A1722D">
        <w:rPr>
          <w:rFonts w:eastAsiaTheme="minorHAnsi"/>
        </w:rPr>
        <w:t>, donation or funding which is intended for use by more than one charity. Where the funding has been solicited e.g. via a grant application or proposal, clear documentation regarding the proposal, how funds will be used, and how the charities will account individually and collectively for expenditure, must be in place prior to agreeing a final receipt of funds. FNHC is committed to providing reporting around donation sharing within a reasonable framework.</w:t>
      </w:r>
    </w:p>
    <w:p w14:paraId="3B1EC6E1" w14:textId="77777777" w:rsidR="00BF5D28" w:rsidRDefault="00BF5D28" w:rsidP="00A1722D">
      <w:pPr>
        <w:rPr>
          <w:rFonts w:eastAsiaTheme="minorHAnsi"/>
        </w:rPr>
      </w:pPr>
    </w:p>
    <w:p w14:paraId="34FD13BA" w14:textId="77777777" w:rsidR="005E2409" w:rsidRDefault="005E2409" w:rsidP="005E2409">
      <w:pPr>
        <w:pStyle w:val="Heading2"/>
      </w:pPr>
      <w:bookmarkStart w:id="13" w:name="_Toc204681806"/>
      <w:r>
        <w:t>Reports to donors/sponsors</w:t>
      </w:r>
      <w:bookmarkEnd w:id="13"/>
    </w:p>
    <w:p w14:paraId="76688D81" w14:textId="56CA831B" w:rsidR="005E2409" w:rsidRDefault="005E2409" w:rsidP="00A1722D">
      <w:pPr>
        <w:rPr>
          <w:rFonts w:eastAsiaTheme="minorHAnsi"/>
        </w:rPr>
      </w:pPr>
      <w:r w:rsidRPr="00A1722D">
        <w:rPr>
          <w:rFonts w:eastAsiaTheme="minorHAnsi"/>
        </w:rPr>
        <w:t>It shall be the responsibility of the relevant Operational/Service Lead to provide official reports on the use of donations, if requested by outside agencies or individual donors.</w:t>
      </w:r>
    </w:p>
    <w:p w14:paraId="0EB27F90" w14:textId="7CE03020" w:rsidR="00A1722D" w:rsidRDefault="0022289C" w:rsidP="008F5635">
      <w:pPr>
        <w:pStyle w:val="Heading2"/>
      </w:pPr>
      <w:bookmarkStart w:id="14" w:name="_Toc204681807"/>
      <w:r>
        <w:t xml:space="preserve">Use of </w:t>
      </w:r>
      <w:r w:rsidR="00596D89">
        <w:t xml:space="preserve">Volunteers for </w:t>
      </w:r>
      <w:r w:rsidR="0019056A">
        <w:t xml:space="preserve">Fundraising </w:t>
      </w:r>
      <w:r w:rsidR="00C13586">
        <w:t>Activities</w:t>
      </w:r>
      <w:bookmarkEnd w:id="14"/>
      <w:r w:rsidR="00C13586">
        <w:t xml:space="preserve"> </w:t>
      </w:r>
    </w:p>
    <w:p w14:paraId="1C7DF285" w14:textId="77777777" w:rsidR="00BF5D28" w:rsidRDefault="00BF5D28" w:rsidP="00EA0687">
      <w:pPr>
        <w:rPr>
          <w:rFonts w:eastAsiaTheme="minorHAnsi"/>
          <w:b/>
          <w:bCs/>
        </w:rPr>
      </w:pPr>
    </w:p>
    <w:p w14:paraId="3EC935F4" w14:textId="21462ECB" w:rsidR="00596D89" w:rsidRPr="00D95BA0" w:rsidRDefault="00596D89" w:rsidP="00EA0687">
      <w:pPr>
        <w:rPr>
          <w:rFonts w:eastAsiaTheme="minorHAnsi"/>
          <w:b/>
          <w:bCs/>
        </w:rPr>
      </w:pPr>
      <w:r w:rsidRPr="00D95BA0">
        <w:rPr>
          <w:rFonts w:eastAsiaTheme="minorHAnsi"/>
          <w:b/>
          <w:bCs/>
        </w:rPr>
        <w:t xml:space="preserve">FNHC </w:t>
      </w:r>
      <w:r w:rsidR="000416D9" w:rsidRPr="00D95BA0">
        <w:rPr>
          <w:rFonts w:eastAsiaTheme="minorHAnsi"/>
          <w:b/>
          <w:bCs/>
        </w:rPr>
        <w:t>Employees</w:t>
      </w:r>
    </w:p>
    <w:p w14:paraId="6B7568AA" w14:textId="39AA7FE8" w:rsidR="00EA0687" w:rsidRDefault="00295C03" w:rsidP="00BF5D28">
      <w:pPr>
        <w:rPr>
          <w:rFonts w:eastAsiaTheme="minorHAnsi"/>
        </w:rPr>
      </w:pPr>
      <w:r>
        <w:rPr>
          <w:rFonts w:eastAsiaTheme="minorHAnsi"/>
        </w:rPr>
        <w:t>Whilst volunteering is a matter of personal choice, i</w:t>
      </w:r>
      <w:r w:rsidR="008B60B1" w:rsidRPr="00EF4372">
        <w:rPr>
          <w:rFonts w:eastAsiaTheme="minorHAnsi"/>
        </w:rPr>
        <w:t xml:space="preserve">t is expected that staff </w:t>
      </w:r>
      <w:r w:rsidR="00EF4372" w:rsidRPr="00EF4372">
        <w:rPr>
          <w:rFonts w:eastAsiaTheme="minorHAnsi"/>
        </w:rPr>
        <w:t xml:space="preserve">will </w:t>
      </w:r>
      <w:proofErr w:type="spellStart"/>
      <w:r w:rsidR="00235257">
        <w:rPr>
          <w:rFonts w:eastAsiaTheme="minorHAnsi"/>
        </w:rPr>
        <w:t>endeavour</w:t>
      </w:r>
      <w:proofErr w:type="spellEnd"/>
      <w:r w:rsidR="00235257">
        <w:rPr>
          <w:rFonts w:eastAsiaTheme="minorHAnsi"/>
        </w:rPr>
        <w:t xml:space="preserve"> </w:t>
      </w:r>
      <w:r w:rsidR="00EF4372" w:rsidRPr="00EF4372">
        <w:rPr>
          <w:rFonts w:eastAsiaTheme="minorHAnsi"/>
        </w:rPr>
        <w:t>to support</w:t>
      </w:r>
      <w:r w:rsidR="00FB5778" w:rsidRPr="00EF4372">
        <w:rPr>
          <w:rFonts w:eastAsiaTheme="minorHAnsi"/>
        </w:rPr>
        <w:t xml:space="preserve"> fundraising activities</w:t>
      </w:r>
      <w:r w:rsidR="001D1A33">
        <w:rPr>
          <w:rFonts w:eastAsiaTheme="minorHAnsi"/>
        </w:rPr>
        <w:t xml:space="preserve"> </w:t>
      </w:r>
      <w:r w:rsidR="00C75C93" w:rsidRPr="00EF4372">
        <w:rPr>
          <w:rFonts w:eastAsiaTheme="minorHAnsi"/>
        </w:rPr>
        <w:t>organized by FNHC</w:t>
      </w:r>
      <w:r w:rsidR="00235257">
        <w:rPr>
          <w:rFonts w:eastAsiaTheme="minorHAnsi"/>
        </w:rPr>
        <w:t xml:space="preserve"> by </w:t>
      </w:r>
      <w:r w:rsidR="00235257" w:rsidRPr="00EF4372">
        <w:rPr>
          <w:rFonts w:eastAsiaTheme="minorHAnsi"/>
        </w:rPr>
        <w:t>volunteer</w:t>
      </w:r>
      <w:r w:rsidR="00235257">
        <w:rPr>
          <w:rFonts w:eastAsiaTheme="minorHAnsi"/>
        </w:rPr>
        <w:t>ing their time</w:t>
      </w:r>
      <w:r w:rsidR="00FB5778" w:rsidRPr="00EF4372">
        <w:rPr>
          <w:rFonts w:eastAsiaTheme="minorHAnsi"/>
        </w:rPr>
        <w:t xml:space="preserve">. </w:t>
      </w:r>
      <w:r w:rsidR="00EA0687">
        <w:rPr>
          <w:rFonts w:eastAsiaTheme="minorHAnsi"/>
        </w:rPr>
        <w:t xml:space="preserve">Approval will be required by the relevant line manager prior to undertaking </w:t>
      </w:r>
      <w:r w:rsidR="008A2EC8">
        <w:rPr>
          <w:rFonts w:eastAsiaTheme="minorHAnsi"/>
        </w:rPr>
        <w:t xml:space="preserve">any </w:t>
      </w:r>
      <w:r w:rsidR="00EA0687">
        <w:rPr>
          <w:rFonts w:eastAsiaTheme="minorHAnsi"/>
        </w:rPr>
        <w:t>volunteering activity</w:t>
      </w:r>
      <w:r w:rsidR="008A2EC8">
        <w:rPr>
          <w:rFonts w:eastAsiaTheme="minorHAnsi"/>
        </w:rPr>
        <w:t xml:space="preserve"> in support of FNHC</w:t>
      </w:r>
      <w:r w:rsidR="00EA0687">
        <w:rPr>
          <w:rFonts w:eastAsiaTheme="minorHAnsi"/>
        </w:rPr>
        <w:t xml:space="preserve">. </w:t>
      </w:r>
    </w:p>
    <w:p w14:paraId="5F5C86C8" w14:textId="0C7AA4E3" w:rsidR="00FB5778" w:rsidRDefault="00585993" w:rsidP="00BF5D28">
      <w:pPr>
        <w:rPr>
          <w:rFonts w:eastAsiaTheme="minorHAnsi"/>
        </w:rPr>
      </w:pPr>
      <w:r>
        <w:rPr>
          <w:rFonts w:eastAsiaTheme="minorHAnsi"/>
        </w:rPr>
        <w:t xml:space="preserve">Staff will be eligible to claim </w:t>
      </w:r>
      <w:r w:rsidR="002E0233">
        <w:rPr>
          <w:rFonts w:eastAsiaTheme="minorHAnsi"/>
        </w:rPr>
        <w:t xml:space="preserve">Time Off </w:t>
      </w:r>
      <w:proofErr w:type="gramStart"/>
      <w:r w:rsidR="002E0233">
        <w:rPr>
          <w:rFonts w:eastAsiaTheme="minorHAnsi"/>
        </w:rPr>
        <w:t>In</w:t>
      </w:r>
      <w:proofErr w:type="gramEnd"/>
      <w:r w:rsidR="002E0233">
        <w:rPr>
          <w:rFonts w:eastAsiaTheme="minorHAnsi"/>
        </w:rPr>
        <w:t xml:space="preserve"> Lieu (TOIL)</w:t>
      </w:r>
      <w:r w:rsidR="008A0110">
        <w:rPr>
          <w:rFonts w:eastAsiaTheme="minorHAnsi"/>
        </w:rPr>
        <w:t xml:space="preserve"> for volunteering their time </w:t>
      </w:r>
      <w:r w:rsidR="00F748D0">
        <w:rPr>
          <w:rFonts w:eastAsiaTheme="minorHAnsi"/>
        </w:rPr>
        <w:t xml:space="preserve">in support of FNHC </w:t>
      </w:r>
      <w:r w:rsidR="00EA024A">
        <w:rPr>
          <w:rFonts w:eastAsiaTheme="minorHAnsi"/>
        </w:rPr>
        <w:t>outside of their usual working hours</w:t>
      </w:r>
      <w:r w:rsidR="00DD48C5">
        <w:rPr>
          <w:rFonts w:eastAsiaTheme="minorHAnsi"/>
        </w:rPr>
        <w:t xml:space="preserve">. </w:t>
      </w:r>
      <w:r w:rsidR="003E3C0C">
        <w:rPr>
          <w:rFonts w:eastAsiaTheme="minorHAnsi"/>
        </w:rPr>
        <w:t>T</w:t>
      </w:r>
      <w:r w:rsidR="00BB659A">
        <w:rPr>
          <w:rFonts w:eastAsiaTheme="minorHAnsi"/>
        </w:rPr>
        <w:t>OIL</w:t>
      </w:r>
      <w:r w:rsidR="003E3C0C">
        <w:rPr>
          <w:rFonts w:eastAsiaTheme="minorHAnsi"/>
        </w:rPr>
        <w:t xml:space="preserve"> will be </w:t>
      </w:r>
      <w:r w:rsidR="00BB659A">
        <w:rPr>
          <w:rFonts w:eastAsiaTheme="minorHAnsi"/>
        </w:rPr>
        <w:t xml:space="preserve">taken </w:t>
      </w:r>
      <w:r w:rsidR="00F13E44">
        <w:rPr>
          <w:rFonts w:eastAsiaTheme="minorHAnsi"/>
        </w:rPr>
        <w:t xml:space="preserve">back </w:t>
      </w:r>
      <w:r w:rsidR="00BB659A">
        <w:rPr>
          <w:rFonts w:eastAsiaTheme="minorHAnsi"/>
        </w:rPr>
        <w:t>as</w:t>
      </w:r>
      <w:r w:rsidR="003E3C0C">
        <w:rPr>
          <w:rFonts w:eastAsiaTheme="minorHAnsi"/>
        </w:rPr>
        <w:t xml:space="preserve"> agreed by their </w:t>
      </w:r>
      <w:r w:rsidR="00EC7E78">
        <w:rPr>
          <w:rFonts w:eastAsiaTheme="minorHAnsi"/>
        </w:rPr>
        <w:t>line manager</w:t>
      </w:r>
      <w:r w:rsidR="00BB659A">
        <w:rPr>
          <w:rFonts w:eastAsiaTheme="minorHAnsi"/>
        </w:rPr>
        <w:t>, subject to operational requirements.</w:t>
      </w:r>
      <w:r w:rsidR="003E3C0C">
        <w:rPr>
          <w:rFonts w:eastAsiaTheme="minorHAnsi"/>
        </w:rPr>
        <w:t xml:space="preserve"> </w:t>
      </w:r>
    </w:p>
    <w:p w14:paraId="6B9E0FA4" w14:textId="196698E7" w:rsidR="00723D86" w:rsidRDefault="00723D86" w:rsidP="00BF5D28">
      <w:pPr>
        <w:rPr>
          <w:rFonts w:eastAsiaTheme="minorHAnsi"/>
        </w:rPr>
      </w:pPr>
      <w:r w:rsidRPr="00723D86">
        <w:rPr>
          <w:rFonts w:eastAsiaTheme="minorHAnsi"/>
        </w:rPr>
        <w:t xml:space="preserve">The safety and wellbeing of staff volunteering for FNHC fundraising events will be managed by </w:t>
      </w:r>
      <w:r w:rsidR="00291B59">
        <w:rPr>
          <w:rFonts w:eastAsiaTheme="minorHAnsi"/>
        </w:rPr>
        <w:t xml:space="preserve">the </w:t>
      </w:r>
      <w:r w:rsidR="00D57827">
        <w:rPr>
          <w:rFonts w:eastAsiaTheme="minorHAnsi"/>
        </w:rPr>
        <w:t xml:space="preserve">nominated </w:t>
      </w:r>
      <w:r w:rsidR="00291B59" w:rsidRPr="00723D86">
        <w:rPr>
          <w:rFonts w:eastAsiaTheme="minorHAnsi"/>
        </w:rPr>
        <w:t>Event</w:t>
      </w:r>
      <w:r w:rsidRPr="00723D86">
        <w:rPr>
          <w:rFonts w:eastAsiaTheme="minorHAnsi"/>
        </w:rPr>
        <w:t xml:space="preserve"> </w:t>
      </w:r>
      <w:r w:rsidR="008E1AC6">
        <w:rPr>
          <w:rFonts w:eastAsiaTheme="minorHAnsi"/>
        </w:rPr>
        <w:t>L</w:t>
      </w:r>
      <w:r w:rsidRPr="00723D86">
        <w:rPr>
          <w:rFonts w:eastAsiaTheme="minorHAnsi"/>
        </w:rPr>
        <w:t>ead.</w:t>
      </w:r>
    </w:p>
    <w:p w14:paraId="59C59C91" w14:textId="76511BED" w:rsidR="00FB5778" w:rsidRDefault="00C13586" w:rsidP="00BF5D28">
      <w:pPr>
        <w:rPr>
          <w:rFonts w:eastAsiaTheme="minorHAnsi"/>
        </w:rPr>
      </w:pPr>
      <w:r>
        <w:rPr>
          <w:rFonts w:eastAsiaTheme="minorHAnsi"/>
        </w:rPr>
        <w:lastRenderedPageBreak/>
        <w:t>I</w:t>
      </w:r>
      <w:r w:rsidR="00AE1DE3" w:rsidRPr="00C13586">
        <w:rPr>
          <w:rFonts w:eastAsiaTheme="minorHAnsi"/>
        </w:rPr>
        <w:t>ndividual staff</w:t>
      </w:r>
      <w:r>
        <w:rPr>
          <w:rFonts w:eastAsiaTheme="minorHAnsi"/>
        </w:rPr>
        <w:t xml:space="preserve"> may also wish to organize </w:t>
      </w:r>
      <w:r w:rsidR="0050252D">
        <w:rPr>
          <w:rFonts w:eastAsiaTheme="minorHAnsi"/>
        </w:rPr>
        <w:t xml:space="preserve">their own </w:t>
      </w:r>
      <w:r>
        <w:rPr>
          <w:rFonts w:eastAsiaTheme="minorHAnsi"/>
        </w:rPr>
        <w:t>a</w:t>
      </w:r>
      <w:r w:rsidRPr="00C13586">
        <w:rPr>
          <w:rFonts w:eastAsiaTheme="minorHAnsi"/>
        </w:rPr>
        <w:t xml:space="preserve">ctivities </w:t>
      </w:r>
      <w:r>
        <w:rPr>
          <w:rFonts w:eastAsiaTheme="minorHAnsi"/>
        </w:rPr>
        <w:t xml:space="preserve">to raise funds for FNHC. </w:t>
      </w:r>
      <w:r w:rsidR="009071FB">
        <w:rPr>
          <w:rFonts w:eastAsiaTheme="minorHAnsi"/>
        </w:rPr>
        <w:t>In this instanc</w:t>
      </w:r>
      <w:r w:rsidR="00383A38">
        <w:rPr>
          <w:rFonts w:eastAsiaTheme="minorHAnsi"/>
        </w:rPr>
        <w:t xml:space="preserve">e, individuals </w:t>
      </w:r>
      <w:r w:rsidR="00220BA1">
        <w:rPr>
          <w:rFonts w:eastAsiaTheme="minorHAnsi"/>
        </w:rPr>
        <w:t xml:space="preserve">will </w:t>
      </w:r>
      <w:r w:rsidR="00DB5054">
        <w:rPr>
          <w:rFonts w:eastAsiaTheme="minorHAnsi"/>
        </w:rPr>
        <w:t xml:space="preserve">undertake these activities </w:t>
      </w:r>
      <w:r w:rsidR="00EC7E78">
        <w:rPr>
          <w:rFonts w:eastAsiaTheme="minorHAnsi"/>
        </w:rPr>
        <w:t xml:space="preserve">in their own time, </w:t>
      </w:r>
      <w:r w:rsidR="00DB5054">
        <w:rPr>
          <w:rFonts w:eastAsiaTheme="minorHAnsi"/>
        </w:rPr>
        <w:t xml:space="preserve">at their own risk and will </w:t>
      </w:r>
      <w:r w:rsidR="00220BA1">
        <w:rPr>
          <w:rFonts w:eastAsiaTheme="minorHAnsi"/>
        </w:rPr>
        <w:t xml:space="preserve">not </w:t>
      </w:r>
      <w:r w:rsidR="00DB5054">
        <w:rPr>
          <w:rFonts w:eastAsiaTheme="minorHAnsi"/>
        </w:rPr>
        <w:t>be el</w:t>
      </w:r>
      <w:r w:rsidR="004E4779">
        <w:rPr>
          <w:rFonts w:eastAsiaTheme="minorHAnsi"/>
        </w:rPr>
        <w:t xml:space="preserve">igible to claim </w:t>
      </w:r>
      <w:r w:rsidR="00220BA1">
        <w:rPr>
          <w:rFonts w:eastAsiaTheme="minorHAnsi"/>
        </w:rPr>
        <w:t>TOIL</w:t>
      </w:r>
      <w:r w:rsidR="004E4779">
        <w:rPr>
          <w:rFonts w:eastAsiaTheme="minorHAnsi"/>
        </w:rPr>
        <w:t>.</w:t>
      </w:r>
    </w:p>
    <w:p w14:paraId="13B1A651" w14:textId="77777777" w:rsidR="00BF5D28" w:rsidRDefault="00BF5D28" w:rsidP="00AE1DE3">
      <w:pPr>
        <w:rPr>
          <w:rFonts w:eastAsiaTheme="minorHAnsi"/>
          <w:b/>
          <w:bCs/>
        </w:rPr>
      </w:pPr>
    </w:p>
    <w:p w14:paraId="7BAFDA8B" w14:textId="7FBD13E8" w:rsidR="007D0AF2" w:rsidRPr="00D95BA0" w:rsidRDefault="007D0AF2" w:rsidP="00AE1DE3">
      <w:pPr>
        <w:rPr>
          <w:rFonts w:eastAsiaTheme="minorHAnsi"/>
          <w:b/>
          <w:bCs/>
        </w:rPr>
      </w:pPr>
      <w:r w:rsidRPr="00D95BA0">
        <w:rPr>
          <w:rFonts w:eastAsiaTheme="minorHAnsi"/>
          <w:b/>
          <w:bCs/>
        </w:rPr>
        <w:t xml:space="preserve">Non FNHC </w:t>
      </w:r>
      <w:r w:rsidR="000416D9" w:rsidRPr="00D95BA0">
        <w:rPr>
          <w:rFonts w:eastAsiaTheme="minorHAnsi"/>
          <w:b/>
          <w:bCs/>
        </w:rPr>
        <w:t>Employees</w:t>
      </w:r>
    </w:p>
    <w:p w14:paraId="3DF50131" w14:textId="29D8A5CA" w:rsidR="007D0AF2" w:rsidRPr="007D0AF2" w:rsidRDefault="0040419C" w:rsidP="00AE1DE3">
      <w:pPr>
        <w:rPr>
          <w:rFonts w:eastAsiaTheme="minorHAnsi"/>
        </w:rPr>
      </w:pPr>
      <w:r>
        <w:rPr>
          <w:rFonts w:eastAsiaTheme="minorHAnsi"/>
        </w:rPr>
        <w:t>The management and support of volunteers who are not</w:t>
      </w:r>
      <w:r w:rsidR="007D0AF2" w:rsidRPr="007D0AF2">
        <w:rPr>
          <w:rFonts w:eastAsiaTheme="minorHAnsi"/>
        </w:rPr>
        <w:t xml:space="preserve"> </w:t>
      </w:r>
      <w:r w:rsidR="007D0AF2">
        <w:rPr>
          <w:rFonts w:eastAsiaTheme="minorHAnsi"/>
        </w:rPr>
        <w:t xml:space="preserve">FNHC </w:t>
      </w:r>
      <w:r>
        <w:rPr>
          <w:rFonts w:eastAsiaTheme="minorHAnsi"/>
        </w:rPr>
        <w:t xml:space="preserve">employees is covered </w:t>
      </w:r>
      <w:r w:rsidR="009857BF">
        <w:rPr>
          <w:rFonts w:eastAsiaTheme="minorHAnsi"/>
        </w:rPr>
        <w:t>in</w:t>
      </w:r>
      <w:r>
        <w:rPr>
          <w:rFonts w:eastAsiaTheme="minorHAnsi"/>
        </w:rPr>
        <w:t xml:space="preserve"> the FNHC</w:t>
      </w:r>
      <w:r w:rsidR="001A02CA">
        <w:rPr>
          <w:rFonts w:eastAsiaTheme="minorHAnsi"/>
        </w:rPr>
        <w:t xml:space="preserve"> </w:t>
      </w:r>
      <w:r w:rsidR="007D0AF2">
        <w:rPr>
          <w:rFonts w:eastAsiaTheme="minorHAnsi"/>
        </w:rPr>
        <w:t>Volunteer Policy</w:t>
      </w:r>
      <w:r>
        <w:rPr>
          <w:rFonts w:eastAsiaTheme="minorHAnsi"/>
        </w:rPr>
        <w:t xml:space="preserve">. </w:t>
      </w:r>
    </w:p>
    <w:p w14:paraId="6E7C6C79" w14:textId="2E6E8FA8" w:rsidR="00A1722D" w:rsidRDefault="00A1722D" w:rsidP="00A1722D">
      <w:pPr>
        <w:pStyle w:val="Heading2"/>
      </w:pPr>
      <w:bookmarkStart w:id="15" w:name="_Toc204681808"/>
      <w:r>
        <w:t>Publicity</w:t>
      </w:r>
      <w:bookmarkEnd w:id="15"/>
    </w:p>
    <w:p w14:paraId="1DB8BCAC" w14:textId="65F0384E" w:rsidR="00A1722D" w:rsidRDefault="00A1722D" w:rsidP="00A1722D">
      <w:pPr>
        <w:rPr>
          <w:rFonts w:eastAsiaTheme="minorHAnsi"/>
        </w:rPr>
      </w:pPr>
      <w:r w:rsidRPr="00A1722D">
        <w:rPr>
          <w:rFonts w:eastAsiaTheme="minorHAnsi"/>
        </w:rPr>
        <w:t xml:space="preserve">All fundraising publicity </w:t>
      </w:r>
      <w:r w:rsidR="005E7B72">
        <w:rPr>
          <w:rFonts w:eastAsiaTheme="minorHAnsi"/>
        </w:rPr>
        <w:t>will</w:t>
      </w:r>
      <w:r w:rsidRPr="00A1722D">
        <w:rPr>
          <w:rFonts w:eastAsiaTheme="minorHAnsi"/>
        </w:rPr>
        <w:t xml:space="preserve"> clearly </w:t>
      </w:r>
      <w:r w:rsidR="005E7B72">
        <w:rPr>
          <w:rFonts w:eastAsiaTheme="minorHAnsi"/>
        </w:rPr>
        <w:t xml:space="preserve">state </w:t>
      </w:r>
      <w:r w:rsidRPr="00A1722D">
        <w:rPr>
          <w:rFonts w:eastAsiaTheme="minorHAnsi"/>
        </w:rPr>
        <w:t xml:space="preserve">how </w:t>
      </w:r>
      <w:r w:rsidR="00C96363" w:rsidRPr="00A1722D">
        <w:rPr>
          <w:rFonts w:eastAsiaTheme="minorHAnsi"/>
        </w:rPr>
        <w:t>fundraising</w:t>
      </w:r>
      <w:r w:rsidRPr="00A1722D">
        <w:rPr>
          <w:rFonts w:eastAsiaTheme="minorHAnsi"/>
        </w:rPr>
        <w:t xml:space="preserve"> will benefit FNHC and where further information o</w:t>
      </w:r>
      <w:r w:rsidR="00E00BD4">
        <w:rPr>
          <w:rFonts w:eastAsiaTheme="minorHAnsi"/>
        </w:rPr>
        <w:t>n the work of</w:t>
      </w:r>
      <w:r w:rsidRPr="00A1722D">
        <w:rPr>
          <w:rFonts w:eastAsiaTheme="minorHAnsi"/>
        </w:rPr>
        <w:t xml:space="preserve"> FNHC</w:t>
      </w:r>
      <w:r w:rsidR="00C13BB1">
        <w:rPr>
          <w:rFonts w:eastAsiaTheme="minorHAnsi"/>
        </w:rPr>
        <w:t xml:space="preserve"> can be found</w:t>
      </w:r>
      <w:r w:rsidRPr="00A1722D">
        <w:rPr>
          <w:rFonts w:eastAsiaTheme="minorHAnsi"/>
        </w:rPr>
        <w:t xml:space="preserve">. </w:t>
      </w:r>
    </w:p>
    <w:p w14:paraId="7ADF71EF" w14:textId="77777777" w:rsidR="00BF5D28" w:rsidRPr="00A1722D" w:rsidRDefault="00BF5D28" w:rsidP="00A1722D">
      <w:pPr>
        <w:rPr>
          <w:rFonts w:eastAsiaTheme="minorHAnsi"/>
        </w:rPr>
      </w:pPr>
    </w:p>
    <w:p w14:paraId="6E783E2A" w14:textId="0222B229" w:rsidR="00A1722D" w:rsidRDefault="00A1722D" w:rsidP="00A1722D">
      <w:pPr>
        <w:pStyle w:val="Heading2"/>
      </w:pPr>
      <w:bookmarkStart w:id="16" w:name="_Toc204681809"/>
      <w:r>
        <w:t>Complaints</w:t>
      </w:r>
      <w:bookmarkEnd w:id="16"/>
    </w:p>
    <w:p w14:paraId="090079E5" w14:textId="20A6C6F1" w:rsidR="00A1722D" w:rsidRDefault="00A1722D" w:rsidP="00A1722D">
      <w:pPr>
        <w:rPr>
          <w:rFonts w:eastAsiaTheme="minorHAnsi"/>
        </w:rPr>
      </w:pPr>
      <w:r w:rsidRPr="00A1722D">
        <w:rPr>
          <w:rFonts w:eastAsiaTheme="minorHAnsi"/>
        </w:rPr>
        <w:t xml:space="preserve">FNHC will respond to any complaints related to FNHC fundraising activities in a timely, respectful, open and honest way and in line </w:t>
      </w:r>
      <w:r>
        <w:rPr>
          <w:rFonts w:eastAsiaTheme="minorHAnsi"/>
        </w:rPr>
        <w:t>with FNHC's Complaints Policy</w:t>
      </w:r>
      <w:r w:rsidRPr="00A1722D">
        <w:rPr>
          <w:rFonts w:eastAsiaTheme="minorHAnsi"/>
        </w:rPr>
        <w:t>.</w:t>
      </w:r>
    </w:p>
    <w:p w14:paraId="65605C07" w14:textId="77777777" w:rsidR="00BF5D28" w:rsidRPr="00A1722D" w:rsidRDefault="00BF5D28" w:rsidP="00A1722D">
      <w:pPr>
        <w:rPr>
          <w:rFonts w:eastAsiaTheme="minorHAnsi"/>
        </w:rPr>
      </w:pPr>
    </w:p>
    <w:p w14:paraId="57F25D2D" w14:textId="6917E313" w:rsidR="00101BBD" w:rsidRDefault="00942F86" w:rsidP="00A33A94">
      <w:pPr>
        <w:pStyle w:val="Heading1"/>
      </w:pPr>
      <w:bookmarkStart w:id="17" w:name="_Toc204681810"/>
      <w:r w:rsidRPr="00A33A94">
        <w:t>PROCEDURE</w:t>
      </w:r>
      <w:bookmarkEnd w:id="17"/>
    </w:p>
    <w:p w14:paraId="25A95A5F" w14:textId="7D2C976F" w:rsidR="00A1722D" w:rsidRPr="00A1722D" w:rsidRDefault="00BE6B25" w:rsidP="00A1722D">
      <w:r>
        <w:t>See</w:t>
      </w:r>
      <w:r w:rsidR="00A1722D" w:rsidRPr="00A1722D">
        <w:t xml:space="preserve"> S</w:t>
      </w:r>
      <w:r>
        <w:t xml:space="preserve">tandard </w:t>
      </w:r>
      <w:r w:rsidR="00A1722D" w:rsidRPr="00A1722D">
        <w:t>O</w:t>
      </w:r>
      <w:r>
        <w:t xml:space="preserve">perating </w:t>
      </w:r>
      <w:r w:rsidR="00A1722D" w:rsidRPr="00A1722D">
        <w:t>P</w:t>
      </w:r>
      <w:r>
        <w:t>rocedures</w:t>
      </w:r>
      <w:r w:rsidR="00A1722D" w:rsidRPr="00A1722D">
        <w:t xml:space="preserve"> for Fundraising Activities</w:t>
      </w:r>
      <w:r>
        <w:t xml:space="preserve">. </w:t>
      </w:r>
    </w:p>
    <w:p w14:paraId="41EDA7B2" w14:textId="77777777" w:rsidR="00856DE7" w:rsidRPr="00856DE7" w:rsidRDefault="00856DE7" w:rsidP="00856DE7">
      <w:pPr>
        <w:pStyle w:val="Heading1"/>
        <w:ind w:hanging="530"/>
      </w:pPr>
      <w:bookmarkStart w:id="18" w:name="_Toc204681811"/>
      <w:r w:rsidRPr="00856DE7">
        <w:t>MONITORING COMPLIANCE</w:t>
      </w:r>
      <w:bookmarkEnd w:id="18"/>
    </w:p>
    <w:p w14:paraId="7DEEC5CE" w14:textId="5EDAB3EE" w:rsidR="001434BE" w:rsidRPr="001434BE" w:rsidRDefault="001434BE" w:rsidP="001434BE">
      <w:r w:rsidRPr="001434BE">
        <w:t xml:space="preserve">Compliance with this policy will be overseen and monitored using internal audit and review of relevant accounts and processes. </w:t>
      </w:r>
    </w:p>
    <w:p w14:paraId="03DFFAB7" w14:textId="77777777" w:rsidR="00233DA9" w:rsidRDefault="00233DA9" w:rsidP="00A33A94"/>
    <w:p w14:paraId="28D5616E" w14:textId="77777777" w:rsidR="00796620" w:rsidRDefault="00796620" w:rsidP="00A33A94">
      <w:pPr>
        <w:sectPr w:rsidR="00796620" w:rsidSect="002856D3">
          <w:headerReference w:type="even" r:id="rId21"/>
          <w:headerReference w:type="default" r:id="rId22"/>
          <w:headerReference w:type="first" r:id="rId23"/>
          <w:footerReference w:type="first" r:id="rId24"/>
          <w:pgSz w:w="11906" w:h="16838"/>
          <w:pgMar w:top="1440" w:right="1440" w:bottom="1440" w:left="1440" w:header="708" w:footer="221" w:gutter="0"/>
          <w:pgNumType w:start="1"/>
          <w:cols w:space="708"/>
          <w:titlePg/>
          <w:docGrid w:linePitch="360"/>
        </w:sectPr>
      </w:pPr>
    </w:p>
    <w:p w14:paraId="464CD782" w14:textId="4F119A0E" w:rsidR="00A00AAC" w:rsidRPr="001434BE" w:rsidRDefault="00942F86" w:rsidP="00856DE7">
      <w:pPr>
        <w:pStyle w:val="Heading1"/>
        <w:ind w:hanging="530"/>
      </w:pPr>
      <w:bookmarkStart w:id="19" w:name="_Toc204681812"/>
      <w:r w:rsidRPr="00856DE7">
        <w:lastRenderedPageBreak/>
        <w:t>CONSULTATION PROCESS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rsidTr="00746A57">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1434BE" w:rsidRPr="00856DE7" w14:paraId="4336F66A" w14:textId="77777777" w:rsidTr="006C31F8">
        <w:tc>
          <w:tcPr>
            <w:tcW w:w="2988" w:type="dxa"/>
            <w:shd w:val="clear" w:color="auto" w:fill="auto"/>
          </w:tcPr>
          <w:p w14:paraId="493C6A40" w14:textId="61C93C6B" w:rsidR="001434BE" w:rsidRPr="00856DE7" w:rsidRDefault="001434BE" w:rsidP="001434BE">
            <w:pPr>
              <w:rPr>
                <w:rFonts w:cs="Arial"/>
                <w:szCs w:val="22"/>
              </w:rPr>
            </w:pPr>
            <w:r>
              <w:rPr>
                <w:rFonts w:cs="Arial"/>
                <w:szCs w:val="22"/>
              </w:rPr>
              <w:t xml:space="preserve">Elaine Walsh </w:t>
            </w:r>
          </w:p>
        </w:tc>
        <w:tc>
          <w:tcPr>
            <w:tcW w:w="3240" w:type="dxa"/>
            <w:shd w:val="clear" w:color="auto" w:fill="auto"/>
          </w:tcPr>
          <w:p w14:paraId="2DC4EB39" w14:textId="6F28D080" w:rsidR="001434BE" w:rsidRPr="00856DE7" w:rsidRDefault="001434BE" w:rsidP="001434BE">
            <w:pPr>
              <w:rPr>
                <w:rFonts w:cs="Arial"/>
                <w:szCs w:val="22"/>
              </w:rPr>
            </w:pPr>
            <w:r>
              <w:rPr>
                <w:rFonts w:cs="Arial"/>
                <w:szCs w:val="22"/>
              </w:rPr>
              <w:t>Director of Finance</w:t>
            </w:r>
          </w:p>
        </w:tc>
        <w:tc>
          <w:tcPr>
            <w:tcW w:w="2628" w:type="dxa"/>
            <w:shd w:val="clear" w:color="auto" w:fill="auto"/>
            <w:vAlign w:val="center"/>
          </w:tcPr>
          <w:p w14:paraId="7680B89B" w14:textId="33905B8D" w:rsidR="001434BE" w:rsidRPr="00856DE7" w:rsidRDefault="00E202CA" w:rsidP="006C31F8">
            <w:pPr>
              <w:jc w:val="center"/>
              <w:rPr>
                <w:rFonts w:cs="Arial"/>
                <w:szCs w:val="22"/>
              </w:rPr>
            </w:pPr>
            <w:r>
              <w:rPr>
                <w:rFonts w:cs="Arial"/>
                <w:szCs w:val="22"/>
              </w:rPr>
              <w:t>20.08.2024</w:t>
            </w:r>
          </w:p>
        </w:tc>
      </w:tr>
      <w:tr w:rsidR="00E202CA" w:rsidRPr="00856DE7" w14:paraId="4D01A546" w14:textId="77777777" w:rsidTr="006C31F8">
        <w:tc>
          <w:tcPr>
            <w:tcW w:w="2988" w:type="dxa"/>
            <w:shd w:val="clear" w:color="auto" w:fill="auto"/>
          </w:tcPr>
          <w:p w14:paraId="2E980DC3" w14:textId="160107B5" w:rsidR="00E202CA" w:rsidRPr="00856DE7" w:rsidRDefault="00E202CA" w:rsidP="00E202CA">
            <w:pPr>
              <w:rPr>
                <w:rFonts w:cs="Arial"/>
                <w:szCs w:val="22"/>
              </w:rPr>
            </w:pPr>
            <w:r>
              <w:rPr>
                <w:rFonts w:cs="Arial"/>
                <w:szCs w:val="22"/>
              </w:rPr>
              <w:t>Kalina Syvret</w:t>
            </w:r>
          </w:p>
        </w:tc>
        <w:tc>
          <w:tcPr>
            <w:tcW w:w="3240" w:type="dxa"/>
            <w:shd w:val="clear" w:color="auto" w:fill="auto"/>
          </w:tcPr>
          <w:p w14:paraId="1A54AFBC" w14:textId="190471AF" w:rsidR="00E202CA" w:rsidRPr="00856DE7" w:rsidRDefault="00E202CA" w:rsidP="00E202CA">
            <w:pPr>
              <w:rPr>
                <w:rFonts w:cs="Arial"/>
                <w:szCs w:val="22"/>
              </w:rPr>
            </w:pPr>
            <w:r>
              <w:rPr>
                <w:rFonts w:cs="Arial"/>
                <w:szCs w:val="22"/>
              </w:rPr>
              <w:t>Head of Fundraising</w:t>
            </w:r>
          </w:p>
        </w:tc>
        <w:tc>
          <w:tcPr>
            <w:tcW w:w="2628" w:type="dxa"/>
            <w:shd w:val="clear" w:color="auto" w:fill="auto"/>
            <w:vAlign w:val="center"/>
          </w:tcPr>
          <w:p w14:paraId="3DE6741F" w14:textId="0225029B" w:rsidR="00E202CA" w:rsidRPr="00856DE7" w:rsidRDefault="00E202CA" w:rsidP="006C31F8">
            <w:pPr>
              <w:jc w:val="center"/>
              <w:rPr>
                <w:rFonts w:cs="Arial"/>
                <w:szCs w:val="22"/>
              </w:rPr>
            </w:pPr>
            <w:r w:rsidRPr="00E816EE">
              <w:rPr>
                <w:rFonts w:cs="Arial"/>
                <w:szCs w:val="22"/>
              </w:rPr>
              <w:t>20.08.2024</w:t>
            </w:r>
          </w:p>
        </w:tc>
      </w:tr>
      <w:tr w:rsidR="00E202CA" w:rsidRPr="00856DE7" w14:paraId="47C252A0" w14:textId="77777777" w:rsidTr="006C31F8">
        <w:trPr>
          <w:cantSplit/>
        </w:trPr>
        <w:tc>
          <w:tcPr>
            <w:tcW w:w="2988" w:type="dxa"/>
            <w:shd w:val="clear" w:color="auto" w:fill="auto"/>
          </w:tcPr>
          <w:p w14:paraId="532E4A5E" w14:textId="1D292E32" w:rsidR="00E202CA" w:rsidRPr="00856DE7" w:rsidRDefault="00E202CA" w:rsidP="00E202CA">
            <w:pPr>
              <w:rPr>
                <w:rFonts w:cs="Arial"/>
                <w:szCs w:val="22"/>
              </w:rPr>
            </w:pPr>
            <w:r>
              <w:rPr>
                <w:rFonts w:cs="Arial"/>
                <w:szCs w:val="22"/>
              </w:rPr>
              <w:t>Flora Mulhall-Wood</w:t>
            </w:r>
          </w:p>
        </w:tc>
        <w:tc>
          <w:tcPr>
            <w:tcW w:w="3240" w:type="dxa"/>
            <w:shd w:val="clear" w:color="auto" w:fill="auto"/>
          </w:tcPr>
          <w:p w14:paraId="31E7CD1E" w14:textId="743AC9EA" w:rsidR="00E202CA" w:rsidRPr="00856DE7" w:rsidRDefault="00E202CA" w:rsidP="00793512">
            <w:pPr>
              <w:spacing w:before="0" w:line="240" w:lineRule="auto"/>
              <w:jc w:val="left"/>
              <w:rPr>
                <w:rFonts w:cs="Arial"/>
                <w:szCs w:val="22"/>
              </w:rPr>
            </w:pPr>
            <w:r>
              <w:rPr>
                <w:rFonts w:cs="Arial"/>
                <w:szCs w:val="22"/>
              </w:rPr>
              <w:t>Fundraising Data Admin Assistant</w:t>
            </w:r>
          </w:p>
        </w:tc>
        <w:tc>
          <w:tcPr>
            <w:tcW w:w="2628" w:type="dxa"/>
            <w:shd w:val="clear" w:color="auto" w:fill="auto"/>
            <w:vAlign w:val="center"/>
          </w:tcPr>
          <w:p w14:paraId="24B4D0FD" w14:textId="60E19B7F" w:rsidR="00E202CA" w:rsidRPr="00856DE7" w:rsidRDefault="00E202CA" w:rsidP="006C31F8">
            <w:pPr>
              <w:jc w:val="center"/>
              <w:rPr>
                <w:rFonts w:cs="Arial"/>
                <w:szCs w:val="22"/>
              </w:rPr>
            </w:pPr>
            <w:r w:rsidRPr="00E816EE">
              <w:rPr>
                <w:rFonts w:cs="Arial"/>
                <w:szCs w:val="22"/>
              </w:rPr>
              <w:t>20.08.2024</w:t>
            </w:r>
          </w:p>
        </w:tc>
      </w:tr>
      <w:tr w:rsidR="00E202CA" w:rsidRPr="00856DE7" w14:paraId="5A404FFD" w14:textId="77777777" w:rsidTr="006C31F8">
        <w:tc>
          <w:tcPr>
            <w:tcW w:w="2988" w:type="dxa"/>
            <w:shd w:val="clear" w:color="auto" w:fill="auto"/>
          </w:tcPr>
          <w:p w14:paraId="04E8A05E" w14:textId="29D94EF8" w:rsidR="00E202CA" w:rsidRPr="00856DE7" w:rsidRDefault="00E202CA" w:rsidP="00E202CA">
            <w:pPr>
              <w:rPr>
                <w:rFonts w:cs="Arial"/>
                <w:szCs w:val="22"/>
              </w:rPr>
            </w:pPr>
            <w:r>
              <w:rPr>
                <w:rFonts w:cs="Arial"/>
                <w:szCs w:val="22"/>
              </w:rPr>
              <w:t>Richard Sims</w:t>
            </w:r>
          </w:p>
        </w:tc>
        <w:tc>
          <w:tcPr>
            <w:tcW w:w="3240" w:type="dxa"/>
            <w:shd w:val="clear" w:color="auto" w:fill="auto"/>
          </w:tcPr>
          <w:p w14:paraId="6B5CDA43" w14:textId="7A2A9600" w:rsidR="00E202CA" w:rsidRPr="00856DE7" w:rsidRDefault="00E202CA" w:rsidP="00E202CA">
            <w:pPr>
              <w:rPr>
                <w:rFonts w:cs="Arial"/>
                <w:szCs w:val="22"/>
              </w:rPr>
            </w:pPr>
            <w:r>
              <w:rPr>
                <w:rFonts w:cs="Arial"/>
                <w:szCs w:val="22"/>
              </w:rPr>
              <w:t>Grants and Legacies Officer</w:t>
            </w:r>
          </w:p>
        </w:tc>
        <w:tc>
          <w:tcPr>
            <w:tcW w:w="2628" w:type="dxa"/>
            <w:shd w:val="clear" w:color="auto" w:fill="auto"/>
            <w:vAlign w:val="center"/>
          </w:tcPr>
          <w:p w14:paraId="642E2B4F" w14:textId="4A1730E7" w:rsidR="00E202CA" w:rsidRPr="00856DE7" w:rsidRDefault="00E202CA" w:rsidP="006C31F8">
            <w:pPr>
              <w:jc w:val="center"/>
              <w:rPr>
                <w:rFonts w:cs="Arial"/>
                <w:szCs w:val="22"/>
              </w:rPr>
            </w:pPr>
            <w:r w:rsidRPr="00E816EE">
              <w:rPr>
                <w:rFonts w:cs="Arial"/>
                <w:szCs w:val="22"/>
              </w:rPr>
              <w:t>20.08.2024</w:t>
            </w:r>
          </w:p>
        </w:tc>
      </w:tr>
      <w:tr w:rsidR="00A00AAC" w:rsidRPr="00856DE7" w14:paraId="7CDDB071" w14:textId="77777777" w:rsidTr="006C31F8">
        <w:tc>
          <w:tcPr>
            <w:tcW w:w="2988" w:type="dxa"/>
            <w:shd w:val="clear" w:color="auto" w:fill="auto"/>
          </w:tcPr>
          <w:p w14:paraId="70497207" w14:textId="588DDFA6" w:rsidR="00A00AAC" w:rsidRPr="00856DE7" w:rsidRDefault="007B2172" w:rsidP="00746A57">
            <w:pPr>
              <w:rPr>
                <w:rFonts w:cs="Arial"/>
                <w:szCs w:val="22"/>
              </w:rPr>
            </w:pPr>
            <w:r>
              <w:rPr>
                <w:rFonts w:cs="Arial"/>
                <w:szCs w:val="22"/>
              </w:rPr>
              <w:t>Rosemarie Finley</w:t>
            </w:r>
          </w:p>
        </w:tc>
        <w:tc>
          <w:tcPr>
            <w:tcW w:w="3240" w:type="dxa"/>
            <w:shd w:val="clear" w:color="auto" w:fill="auto"/>
          </w:tcPr>
          <w:p w14:paraId="4CA85D92" w14:textId="55C7F97E" w:rsidR="00A00AAC" w:rsidRPr="00856DE7" w:rsidRDefault="007B2172" w:rsidP="00746A57">
            <w:pPr>
              <w:rPr>
                <w:rFonts w:cs="Arial"/>
                <w:szCs w:val="22"/>
              </w:rPr>
            </w:pPr>
            <w:r>
              <w:rPr>
                <w:rFonts w:cs="Arial"/>
                <w:szCs w:val="22"/>
              </w:rPr>
              <w:t>CEO</w:t>
            </w:r>
          </w:p>
        </w:tc>
        <w:tc>
          <w:tcPr>
            <w:tcW w:w="2628" w:type="dxa"/>
            <w:shd w:val="clear" w:color="auto" w:fill="auto"/>
            <w:vAlign w:val="center"/>
          </w:tcPr>
          <w:p w14:paraId="721A7A96" w14:textId="22031F16" w:rsidR="00A00AAC" w:rsidRPr="00856DE7" w:rsidRDefault="007B2172" w:rsidP="006C31F8">
            <w:pPr>
              <w:jc w:val="center"/>
              <w:rPr>
                <w:rFonts w:cs="Arial"/>
                <w:szCs w:val="22"/>
              </w:rPr>
            </w:pPr>
            <w:r>
              <w:rPr>
                <w:rFonts w:cs="Arial"/>
                <w:szCs w:val="22"/>
              </w:rPr>
              <w:t>29.05.2025</w:t>
            </w:r>
          </w:p>
        </w:tc>
      </w:tr>
      <w:tr w:rsidR="00A00AAC" w:rsidRPr="00856DE7" w14:paraId="2005EA5B" w14:textId="77777777" w:rsidTr="006C31F8">
        <w:tc>
          <w:tcPr>
            <w:tcW w:w="2988" w:type="dxa"/>
            <w:shd w:val="clear" w:color="auto" w:fill="auto"/>
          </w:tcPr>
          <w:p w14:paraId="5FC6EB3D" w14:textId="76D20808" w:rsidR="00A00AAC" w:rsidRPr="00856DE7" w:rsidRDefault="007B2172" w:rsidP="00746A57">
            <w:pPr>
              <w:rPr>
                <w:rFonts w:cs="Arial"/>
                <w:szCs w:val="22"/>
              </w:rPr>
            </w:pPr>
            <w:r>
              <w:rPr>
                <w:rFonts w:cs="Arial"/>
                <w:szCs w:val="22"/>
              </w:rPr>
              <w:t>Claire White</w:t>
            </w:r>
          </w:p>
        </w:tc>
        <w:tc>
          <w:tcPr>
            <w:tcW w:w="3240" w:type="dxa"/>
            <w:shd w:val="clear" w:color="auto" w:fill="auto"/>
          </w:tcPr>
          <w:p w14:paraId="6D3B7DAA" w14:textId="78EB849D" w:rsidR="00A00AAC" w:rsidRPr="00856DE7" w:rsidRDefault="007B2172" w:rsidP="00746A57">
            <w:pPr>
              <w:rPr>
                <w:rFonts w:cs="Arial"/>
                <w:szCs w:val="22"/>
              </w:rPr>
            </w:pPr>
            <w:r>
              <w:rPr>
                <w:rFonts w:cs="Arial"/>
                <w:szCs w:val="22"/>
              </w:rPr>
              <w:t>Director of Governance and Care</w:t>
            </w:r>
          </w:p>
        </w:tc>
        <w:tc>
          <w:tcPr>
            <w:tcW w:w="2628" w:type="dxa"/>
            <w:shd w:val="clear" w:color="auto" w:fill="auto"/>
            <w:vAlign w:val="center"/>
          </w:tcPr>
          <w:p w14:paraId="1E50E24A" w14:textId="094FC352" w:rsidR="00A00AAC" w:rsidRPr="00856DE7" w:rsidRDefault="007B2172" w:rsidP="006C31F8">
            <w:pPr>
              <w:jc w:val="center"/>
              <w:rPr>
                <w:rFonts w:cs="Arial"/>
                <w:szCs w:val="22"/>
              </w:rPr>
            </w:pPr>
            <w:r>
              <w:rPr>
                <w:rFonts w:cs="Arial"/>
                <w:szCs w:val="22"/>
              </w:rPr>
              <w:t>29.05.2025</w:t>
            </w:r>
          </w:p>
        </w:tc>
      </w:tr>
    </w:tbl>
    <w:p w14:paraId="34A6434D" w14:textId="77777777" w:rsidR="00796620" w:rsidRPr="00856DE7" w:rsidRDefault="00796620" w:rsidP="00796620">
      <w:pPr>
        <w:pStyle w:val="Heading1"/>
        <w:ind w:hanging="530"/>
      </w:pPr>
      <w:bookmarkStart w:id="20" w:name="_Toc204681813"/>
      <w:r w:rsidRPr="00856DE7">
        <w:t>EQUALITY IMPACT STATEMENT</w:t>
      </w:r>
      <w:bookmarkEnd w:id="20"/>
    </w:p>
    <w:p w14:paraId="6970AC6C" w14:textId="77777777" w:rsidR="00796620" w:rsidRPr="00856DE7" w:rsidRDefault="00796620" w:rsidP="009D7D55">
      <w:r w:rsidRPr="00856DE7">
        <w:t xml:space="preserve">Family Nursing &amp; Home Care is committed to ensuring that, as far </w:t>
      </w:r>
      <w:proofErr w:type="gramStart"/>
      <w:r w:rsidRPr="00856DE7">
        <w:t>as</w:t>
      </w:r>
      <w:proofErr w:type="gramEnd"/>
      <w:r w:rsidRPr="00856DE7">
        <w:t xml:space="preserve">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minimise discriminatory practice in the areas of race, disability, gender, sexual orientation, age and ‘religion, belief, faith and spirituality’ as well as to promote positive practice and value the diversity of all individuals and communities. </w:t>
      </w:r>
    </w:p>
    <w:p w14:paraId="15A35F2F" w14:textId="48C89512"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organisation.</w:t>
      </w:r>
      <w:r w:rsidRPr="00856DE7">
        <w:t xml:space="preserve"> They are </w:t>
      </w:r>
      <w:r w:rsidR="00B30A4D" w:rsidRPr="00856DE7">
        <w:t>manifested</w:t>
      </w:r>
      <w:r w:rsidRPr="00856DE7">
        <w:t xml:space="preserve"> in the </w:t>
      </w:r>
      <w:proofErr w:type="spellStart"/>
      <w:r w:rsidRPr="00856DE7">
        <w:t>behaviours</w:t>
      </w:r>
      <w:proofErr w:type="spellEnd"/>
      <w:r w:rsidRPr="00856DE7">
        <w:t xml:space="preserve"> employees display.  </w:t>
      </w:r>
      <w:r w:rsidRPr="00856DE7">
        <w:rPr>
          <w:shd w:val="clear" w:color="auto" w:fill="FFFFFF"/>
        </w:rPr>
        <w:t>The organisation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Putting patients first</w:t>
      </w:r>
    </w:p>
    <w:p w14:paraId="4097798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Keeping people safe</w:t>
      </w:r>
    </w:p>
    <w:p w14:paraId="0E1E28E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Listen actively</w:t>
      </w:r>
    </w:p>
    <w:p w14:paraId="272BB0F6"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Check for understanding when you communicate</w:t>
      </w:r>
    </w:p>
    <w:p w14:paraId="523098F8" w14:textId="77777777" w:rsidR="00796620" w:rsidRDefault="00796620" w:rsidP="00796620">
      <w:pPr>
        <w:pStyle w:val="ListParagraph"/>
        <w:numPr>
          <w:ilvl w:val="0"/>
          <w:numId w:val="27"/>
        </w:numPr>
        <w:rPr>
          <w:shd w:val="clear" w:color="auto" w:fill="FFFFFF"/>
        </w:rPr>
      </w:pPr>
      <w:r w:rsidRPr="00502E62">
        <w:rPr>
          <w:shd w:val="clear" w:color="auto" w:fill="FFFFFF"/>
        </w:rPr>
        <w:t>Be respectful and treat people with dignity</w:t>
      </w:r>
    </w:p>
    <w:p w14:paraId="2D694680" w14:textId="77777777" w:rsidR="00796620" w:rsidRPr="00502E62" w:rsidRDefault="00796620" w:rsidP="00796620">
      <w:pPr>
        <w:pStyle w:val="ListParagraph"/>
        <w:numPr>
          <w:ilvl w:val="0"/>
          <w:numId w:val="27"/>
        </w:numPr>
        <w:rPr>
          <w:shd w:val="clear" w:color="auto" w:fill="FFFFFF"/>
        </w:rPr>
      </w:pPr>
      <w:r w:rsidRPr="00502E62">
        <w:rPr>
          <w:rFonts w:cs="Arial"/>
          <w:shd w:val="clear" w:color="auto" w:fill="FFFFFF"/>
        </w:rPr>
        <w:t>Work as a team</w:t>
      </w:r>
    </w:p>
    <w:p w14:paraId="3AC25F43" w14:textId="69497432" w:rsidR="00796620" w:rsidRDefault="00796620" w:rsidP="00796620">
      <w:r w:rsidRPr="00502E62">
        <w:rPr>
          <w:rFonts w:cs="Arial"/>
          <w:shd w:val="clear" w:color="auto" w:fill="FFFFFF"/>
        </w:rPr>
        <w:t xml:space="preserve">This policy should be </w:t>
      </w:r>
      <w:proofErr w:type="gramStart"/>
      <w:r w:rsidRPr="00502E62">
        <w:rPr>
          <w:rFonts w:cs="Arial"/>
          <w:shd w:val="clear" w:color="auto" w:fill="FFFFFF"/>
        </w:rPr>
        <w:t xml:space="preserve">read and </w:t>
      </w:r>
      <w:r w:rsidRPr="00502E62">
        <w:t>implemented with the Organisational Values in mind at all times</w:t>
      </w:r>
      <w:proofErr w:type="gramEnd"/>
      <w:r w:rsidRPr="00502E62">
        <w:t xml:space="preserve">.  </w:t>
      </w:r>
      <w:r w:rsidRPr="00B21954">
        <w:t>See overleaf</w:t>
      </w:r>
      <w:r w:rsidR="00B21954" w:rsidRPr="00B21954">
        <w:t xml:space="preserve"> </w:t>
      </w:r>
      <w:r w:rsidRPr="00B21954">
        <w:t>for</w:t>
      </w:r>
      <w:r>
        <w:t xml:space="preserve"> the </w:t>
      </w:r>
      <w:r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21" w:name="_Toc204681814"/>
      <w:r>
        <w:lastRenderedPageBreak/>
        <w:t xml:space="preserve">EQUALITY IMPACT </w:t>
      </w:r>
      <w:r w:rsidRPr="00DA3FE7">
        <w:t>SCREENING</w:t>
      </w:r>
      <w:r>
        <w:t xml:space="preserve"> TOOL</w:t>
      </w:r>
      <w:bookmarkEnd w:id="21"/>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rsidTr="00AE5034">
        <w:tc>
          <w:tcPr>
            <w:tcW w:w="10065" w:type="dxa"/>
            <w:gridSpan w:val="11"/>
            <w:shd w:val="clear" w:color="auto" w:fill="B6DDE8"/>
          </w:tcPr>
          <w:p w14:paraId="7B90CF12" w14:textId="7C179E48" w:rsidR="00796620" w:rsidRPr="00856DE7" w:rsidRDefault="00796620" w:rsidP="00AE5034">
            <w:pPr>
              <w:spacing w:after="120"/>
              <w:rPr>
                <w:rFonts w:cs="Arial"/>
                <w:b/>
                <w:bCs/>
              </w:rPr>
            </w:pPr>
            <w:r w:rsidRPr="00856DE7">
              <w:rPr>
                <w:rFonts w:cs="Arial"/>
                <w:b/>
                <w:bCs/>
              </w:rPr>
              <w:t xml:space="preserve">Stage 1 </w:t>
            </w:r>
            <w:r w:rsidR="002751BE" w:rsidRPr="00856DE7">
              <w:rPr>
                <w:rFonts w:cs="Arial"/>
                <w:b/>
                <w:bCs/>
              </w:rPr>
              <w:t>- Screening</w:t>
            </w:r>
            <w:r w:rsidRPr="00856DE7">
              <w:rPr>
                <w:rFonts w:cs="Arial"/>
                <w:b/>
                <w:bCs/>
              </w:rPr>
              <w:t xml:space="preserve"> </w:t>
            </w:r>
          </w:p>
        </w:tc>
      </w:tr>
      <w:tr w:rsidR="00796620" w:rsidRPr="00856DE7" w14:paraId="7A126F0A" w14:textId="77777777" w:rsidTr="00AE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468203E9" w:rsidR="00796620" w:rsidRPr="00856DE7" w:rsidRDefault="00796620" w:rsidP="00AE5034">
            <w:pPr>
              <w:spacing w:after="120"/>
              <w:rPr>
                <w:rFonts w:cs="Arial"/>
              </w:rPr>
            </w:pPr>
            <w:bookmarkStart w:id="22" w:name="_Toc20232270"/>
            <w:r w:rsidRPr="00856DE7">
              <w:rPr>
                <w:rFonts w:cs="Arial"/>
              </w:rPr>
              <w:t>Title of Procedural Document:</w:t>
            </w:r>
            <w:bookmarkEnd w:id="22"/>
            <w:r w:rsidRPr="00856DE7">
              <w:rPr>
                <w:rFonts w:cs="Arial"/>
              </w:rPr>
              <w:t xml:space="preserve"> </w:t>
            </w:r>
            <w:r w:rsidR="001434BE">
              <w:rPr>
                <w:rFonts w:cs="Arial"/>
              </w:rPr>
              <w:t>Fundraising Policy</w:t>
            </w:r>
          </w:p>
        </w:tc>
      </w:tr>
      <w:tr w:rsidR="00796620" w:rsidRPr="00856DE7" w14:paraId="1B69AFED" w14:textId="77777777" w:rsidTr="00AE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rsidP="00AE5034">
            <w:pPr>
              <w:spacing w:after="120"/>
              <w:rPr>
                <w:rFonts w:cs="Arial"/>
              </w:rPr>
            </w:pPr>
            <w:bookmarkStart w:id="23" w:name="_Toc20232271"/>
            <w:r w:rsidRPr="00856DE7">
              <w:rPr>
                <w:rFonts w:cs="Arial"/>
              </w:rPr>
              <w:t>Date of Assessment</w:t>
            </w:r>
            <w:bookmarkEnd w:id="23"/>
          </w:p>
        </w:tc>
        <w:tc>
          <w:tcPr>
            <w:tcW w:w="1873" w:type="dxa"/>
            <w:gridSpan w:val="2"/>
          </w:tcPr>
          <w:p w14:paraId="5BBFCD2D" w14:textId="5D8B75E8" w:rsidR="00796620" w:rsidRPr="00856DE7" w:rsidRDefault="002751BE" w:rsidP="00AE5034">
            <w:pPr>
              <w:spacing w:after="120"/>
              <w:rPr>
                <w:rFonts w:cs="Arial"/>
              </w:rPr>
            </w:pPr>
            <w:r>
              <w:rPr>
                <w:rFonts w:cs="Arial"/>
              </w:rPr>
              <w:t>May 2025</w:t>
            </w:r>
          </w:p>
        </w:tc>
        <w:tc>
          <w:tcPr>
            <w:tcW w:w="2722" w:type="dxa"/>
            <w:gridSpan w:val="5"/>
          </w:tcPr>
          <w:p w14:paraId="682F124F" w14:textId="77777777" w:rsidR="00796620" w:rsidRPr="00856DE7" w:rsidRDefault="00796620" w:rsidP="00AE5034">
            <w:pPr>
              <w:spacing w:after="120"/>
              <w:rPr>
                <w:rFonts w:cs="Arial"/>
              </w:rPr>
            </w:pPr>
            <w:r w:rsidRPr="00856DE7">
              <w:rPr>
                <w:rFonts w:cs="Arial"/>
              </w:rPr>
              <w:t>Responsible Department</w:t>
            </w:r>
          </w:p>
        </w:tc>
        <w:tc>
          <w:tcPr>
            <w:tcW w:w="2776" w:type="dxa"/>
            <w:gridSpan w:val="2"/>
          </w:tcPr>
          <w:p w14:paraId="70DE4E2B" w14:textId="52233306" w:rsidR="00796620" w:rsidRPr="00856DE7" w:rsidRDefault="001434BE" w:rsidP="00AE5034">
            <w:pPr>
              <w:spacing w:after="120"/>
              <w:rPr>
                <w:rFonts w:cs="Arial"/>
              </w:rPr>
            </w:pPr>
            <w:r>
              <w:rPr>
                <w:rFonts w:cs="Arial"/>
              </w:rPr>
              <w:t>Corporate</w:t>
            </w:r>
          </w:p>
        </w:tc>
      </w:tr>
      <w:tr w:rsidR="00796620" w:rsidRPr="00856DE7" w14:paraId="1A058831" w14:textId="77777777" w:rsidTr="00AE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rsidP="00AE5034">
            <w:pPr>
              <w:spacing w:after="120"/>
              <w:rPr>
                <w:rFonts w:cs="Arial"/>
              </w:rPr>
            </w:pPr>
            <w:r>
              <w:rPr>
                <w:rFonts w:cs="Arial"/>
              </w:rPr>
              <w:t>Completed by</w:t>
            </w:r>
          </w:p>
        </w:tc>
        <w:tc>
          <w:tcPr>
            <w:tcW w:w="2948" w:type="dxa"/>
            <w:gridSpan w:val="3"/>
          </w:tcPr>
          <w:p w14:paraId="4018456C" w14:textId="64B46F77" w:rsidR="00796620" w:rsidRPr="00856DE7" w:rsidRDefault="001434BE" w:rsidP="00AE5034">
            <w:pPr>
              <w:spacing w:after="120"/>
              <w:rPr>
                <w:rFonts w:cs="Arial"/>
              </w:rPr>
            </w:pPr>
            <w:r>
              <w:rPr>
                <w:rFonts w:cs="Arial"/>
              </w:rPr>
              <w:t>Mo de Gruchy</w:t>
            </w:r>
          </w:p>
        </w:tc>
        <w:tc>
          <w:tcPr>
            <w:tcW w:w="1163" w:type="dxa"/>
            <w:gridSpan w:val="3"/>
          </w:tcPr>
          <w:p w14:paraId="7E2C0A09" w14:textId="77777777" w:rsidR="00796620" w:rsidRPr="00856DE7" w:rsidRDefault="00796620" w:rsidP="00AE5034">
            <w:pPr>
              <w:spacing w:after="120"/>
              <w:rPr>
                <w:rFonts w:cs="Arial"/>
              </w:rPr>
            </w:pPr>
            <w:r w:rsidRPr="00856DE7">
              <w:rPr>
                <w:rFonts w:cs="Arial"/>
              </w:rPr>
              <w:t>Job Title</w:t>
            </w:r>
          </w:p>
        </w:tc>
        <w:tc>
          <w:tcPr>
            <w:tcW w:w="4335" w:type="dxa"/>
            <w:gridSpan w:val="4"/>
          </w:tcPr>
          <w:p w14:paraId="7A89F83F" w14:textId="1FC4CE79" w:rsidR="00796620" w:rsidRPr="00856DE7" w:rsidRDefault="001434BE" w:rsidP="00AE5034">
            <w:pPr>
              <w:spacing w:after="120"/>
              <w:rPr>
                <w:rFonts w:cs="Arial"/>
              </w:rPr>
            </w:pPr>
            <w:r>
              <w:rPr>
                <w:rFonts w:cs="Arial"/>
              </w:rPr>
              <w:t>Communications Adviser</w:t>
            </w:r>
          </w:p>
        </w:tc>
      </w:tr>
      <w:tr w:rsidR="00796620" w:rsidRPr="00856DE7" w14:paraId="6A42141D" w14:textId="77777777" w:rsidTr="00AE5034">
        <w:tc>
          <w:tcPr>
            <w:tcW w:w="10065" w:type="dxa"/>
            <w:gridSpan w:val="11"/>
            <w:shd w:val="clear" w:color="auto" w:fill="B6DDE8"/>
          </w:tcPr>
          <w:p w14:paraId="61468AA7" w14:textId="77777777" w:rsidR="00796620" w:rsidRPr="00856DE7" w:rsidRDefault="00796620" w:rsidP="00AE5034">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rsidP="00AE5034">
            <w:pPr>
              <w:spacing w:before="80" w:after="80"/>
              <w:ind w:left="361"/>
              <w:rPr>
                <w:rFonts w:cs="Arial"/>
              </w:rPr>
            </w:pPr>
          </w:p>
        </w:tc>
        <w:tc>
          <w:tcPr>
            <w:tcW w:w="1134" w:type="dxa"/>
            <w:gridSpan w:val="2"/>
            <w:vAlign w:val="center"/>
          </w:tcPr>
          <w:p w14:paraId="2323B341" w14:textId="77777777" w:rsidR="00796620" w:rsidRPr="00856DE7" w:rsidRDefault="00796620" w:rsidP="00AE5034">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rsidP="00AE5034">
            <w:pPr>
              <w:spacing w:before="80" w:after="80"/>
              <w:ind w:left="33"/>
              <w:jc w:val="center"/>
              <w:rPr>
                <w:rFonts w:cs="Arial"/>
                <w:b/>
              </w:rPr>
            </w:pPr>
            <w:r w:rsidRPr="00856DE7">
              <w:rPr>
                <w:rFonts w:cs="Arial"/>
                <w:b/>
              </w:rPr>
              <w:t>Comments</w:t>
            </w:r>
          </w:p>
        </w:tc>
      </w:tr>
      <w:tr w:rsidR="00796620" w:rsidRPr="00856DE7" w14:paraId="6E24FAAB" w14:textId="77777777" w:rsidTr="009D7D55">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tcPr>
          <w:p w14:paraId="0FE54B3E" w14:textId="085D0C05" w:rsidR="00796620" w:rsidRPr="00856DE7" w:rsidRDefault="001434BE" w:rsidP="00AE5034">
            <w:pPr>
              <w:spacing w:before="80" w:after="80"/>
              <w:rPr>
                <w:rFonts w:cs="Arial"/>
              </w:rPr>
            </w:pPr>
            <w:r>
              <w:rPr>
                <w:rFonts w:cs="Arial"/>
              </w:rPr>
              <w:t>No</w:t>
            </w:r>
          </w:p>
        </w:tc>
        <w:tc>
          <w:tcPr>
            <w:tcW w:w="3626" w:type="dxa"/>
            <w:gridSpan w:val="3"/>
          </w:tcPr>
          <w:p w14:paraId="6A843CFF" w14:textId="77777777" w:rsidR="00796620" w:rsidRPr="00856DE7" w:rsidRDefault="00796620" w:rsidP="00AE5034">
            <w:pPr>
              <w:spacing w:before="80" w:after="80"/>
              <w:rPr>
                <w:rFonts w:cs="Arial"/>
              </w:rPr>
            </w:pPr>
          </w:p>
        </w:tc>
      </w:tr>
      <w:tr w:rsidR="001434BE" w:rsidRPr="00856DE7" w14:paraId="38995910" w14:textId="77777777" w:rsidTr="009D7D55">
        <w:tc>
          <w:tcPr>
            <w:tcW w:w="5305" w:type="dxa"/>
            <w:gridSpan w:val="6"/>
          </w:tcPr>
          <w:p w14:paraId="1BB171E0" w14:textId="77777777" w:rsidR="001434BE" w:rsidRPr="00856DE7" w:rsidRDefault="001434BE" w:rsidP="001434BE">
            <w:pPr>
              <w:tabs>
                <w:tab w:val="left" w:pos="278"/>
              </w:tabs>
              <w:spacing w:before="80" w:after="80"/>
              <w:rPr>
                <w:rFonts w:cs="Arial"/>
              </w:rPr>
            </w:pPr>
            <w:r w:rsidRPr="00856DE7">
              <w:rPr>
                <w:rFonts w:cs="Arial"/>
              </w:rPr>
              <w:t>Disability</w:t>
            </w:r>
          </w:p>
          <w:p w14:paraId="016A6CAE" w14:textId="173B2B2A" w:rsidR="001434BE" w:rsidRPr="009D7D55" w:rsidRDefault="001434BE" w:rsidP="001434BE">
            <w:pPr>
              <w:tabs>
                <w:tab w:val="left" w:pos="278"/>
              </w:tabs>
              <w:spacing w:before="80" w:after="80"/>
              <w:ind w:left="-1"/>
              <w:rPr>
                <w:rFonts w:cs="Arial"/>
                <w:i/>
              </w:rPr>
            </w:pPr>
            <w:r>
              <w:rPr>
                <w:rFonts w:cs="Arial"/>
                <w:i/>
                <w:sz w:val="20"/>
              </w:rPr>
              <w:t>(</w:t>
            </w:r>
            <w:r w:rsidRPr="009D7D55">
              <w:rPr>
                <w:rFonts w:cs="Arial"/>
                <w:i/>
                <w:sz w:val="20"/>
              </w:rPr>
              <w:t>Learning disability; physical disability; sensory impairment and/or mental health problems e.g. dementia</w:t>
            </w:r>
            <w:r>
              <w:rPr>
                <w:rFonts w:cs="Arial"/>
                <w:i/>
                <w:sz w:val="20"/>
              </w:rPr>
              <w:t>)</w:t>
            </w:r>
          </w:p>
        </w:tc>
        <w:tc>
          <w:tcPr>
            <w:tcW w:w="1134" w:type="dxa"/>
            <w:gridSpan w:val="2"/>
          </w:tcPr>
          <w:p w14:paraId="6AD7FB91" w14:textId="5B127D76" w:rsidR="001434BE" w:rsidRPr="00856DE7" w:rsidRDefault="001434BE" w:rsidP="001434BE">
            <w:pPr>
              <w:spacing w:before="80" w:after="80"/>
              <w:rPr>
                <w:rFonts w:cs="Arial"/>
              </w:rPr>
            </w:pPr>
            <w:r w:rsidRPr="00513291">
              <w:t>No</w:t>
            </w:r>
          </w:p>
        </w:tc>
        <w:tc>
          <w:tcPr>
            <w:tcW w:w="3626" w:type="dxa"/>
            <w:gridSpan w:val="3"/>
          </w:tcPr>
          <w:p w14:paraId="7ADAD7E5" w14:textId="77777777" w:rsidR="001434BE" w:rsidRPr="00856DE7" w:rsidRDefault="001434BE" w:rsidP="001434BE">
            <w:pPr>
              <w:spacing w:before="80" w:after="80"/>
              <w:rPr>
                <w:rFonts w:cs="Arial"/>
              </w:rPr>
            </w:pPr>
          </w:p>
        </w:tc>
      </w:tr>
      <w:tr w:rsidR="001434BE" w:rsidRPr="00856DE7" w14:paraId="1C85B329" w14:textId="77777777" w:rsidTr="009D7D55">
        <w:tc>
          <w:tcPr>
            <w:tcW w:w="5305" w:type="dxa"/>
            <w:gridSpan w:val="6"/>
          </w:tcPr>
          <w:p w14:paraId="6DFA91CD" w14:textId="77777777" w:rsidR="001434BE" w:rsidRPr="00856DE7" w:rsidRDefault="001434BE" w:rsidP="001434BE">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tcPr>
          <w:p w14:paraId="40B86141" w14:textId="6F63F526" w:rsidR="001434BE" w:rsidRPr="00856DE7" w:rsidRDefault="001434BE" w:rsidP="001434BE">
            <w:pPr>
              <w:spacing w:before="80" w:after="80"/>
              <w:rPr>
                <w:rFonts w:cs="Arial"/>
              </w:rPr>
            </w:pPr>
            <w:r w:rsidRPr="00513291">
              <w:t>No</w:t>
            </w:r>
          </w:p>
        </w:tc>
        <w:tc>
          <w:tcPr>
            <w:tcW w:w="3626" w:type="dxa"/>
            <w:gridSpan w:val="3"/>
          </w:tcPr>
          <w:p w14:paraId="7C77D725" w14:textId="77777777" w:rsidR="001434BE" w:rsidRPr="00856DE7" w:rsidRDefault="001434BE" w:rsidP="001434BE">
            <w:pPr>
              <w:spacing w:before="80" w:after="80"/>
              <w:rPr>
                <w:rFonts w:cs="Arial"/>
              </w:rPr>
            </w:pPr>
          </w:p>
        </w:tc>
      </w:tr>
      <w:tr w:rsidR="001434BE" w:rsidRPr="00856DE7" w14:paraId="2822DD6F" w14:textId="77777777" w:rsidTr="009D7D55">
        <w:tc>
          <w:tcPr>
            <w:tcW w:w="5305" w:type="dxa"/>
            <w:gridSpan w:val="6"/>
          </w:tcPr>
          <w:p w14:paraId="5036E42A" w14:textId="77777777" w:rsidR="001434BE" w:rsidRPr="00856DE7" w:rsidRDefault="001434BE" w:rsidP="001434BE">
            <w:pPr>
              <w:tabs>
                <w:tab w:val="left" w:pos="278"/>
              </w:tabs>
              <w:spacing w:before="80" w:after="80"/>
              <w:rPr>
                <w:rFonts w:cs="Arial"/>
              </w:rPr>
            </w:pPr>
            <w:r w:rsidRPr="00856DE7">
              <w:rPr>
                <w:rFonts w:cs="Arial"/>
              </w:rPr>
              <w:t>Gender reassignment</w:t>
            </w:r>
          </w:p>
        </w:tc>
        <w:tc>
          <w:tcPr>
            <w:tcW w:w="1134" w:type="dxa"/>
            <w:gridSpan w:val="2"/>
          </w:tcPr>
          <w:p w14:paraId="64DC08E8" w14:textId="68C0B879" w:rsidR="001434BE" w:rsidRPr="00856DE7" w:rsidRDefault="001434BE" w:rsidP="001434BE">
            <w:pPr>
              <w:spacing w:before="80" w:after="80"/>
              <w:rPr>
                <w:rFonts w:cs="Arial"/>
              </w:rPr>
            </w:pPr>
            <w:r w:rsidRPr="00513291">
              <w:t>No</w:t>
            </w:r>
          </w:p>
        </w:tc>
        <w:tc>
          <w:tcPr>
            <w:tcW w:w="3626" w:type="dxa"/>
            <w:gridSpan w:val="3"/>
          </w:tcPr>
          <w:p w14:paraId="684E8A77" w14:textId="77777777" w:rsidR="001434BE" w:rsidRPr="00856DE7" w:rsidRDefault="001434BE" w:rsidP="001434BE">
            <w:pPr>
              <w:spacing w:before="80" w:after="80"/>
              <w:rPr>
                <w:rFonts w:cs="Arial"/>
              </w:rPr>
            </w:pPr>
          </w:p>
        </w:tc>
      </w:tr>
      <w:tr w:rsidR="001434BE" w:rsidRPr="00856DE7" w14:paraId="07CA0C5B" w14:textId="77777777" w:rsidTr="009D7D55">
        <w:tc>
          <w:tcPr>
            <w:tcW w:w="5305" w:type="dxa"/>
            <w:gridSpan w:val="6"/>
          </w:tcPr>
          <w:p w14:paraId="5C95BBDF" w14:textId="77777777" w:rsidR="001434BE" w:rsidRPr="00856DE7" w:rsidRDefault="001434BE" w:rsidP="001434BE">
            <w:pPr>
              <w:tabs>
                <w:tab w:val="left" w:pos="278"/>
              </w:tabs>
              <w:spacing w:before="80" w:after="80"/>
              <w:rPr>
                <w:rFonts w:cs="Arial"/>
              </w:rPr>
            </w:pPr>
            <w:r w:rsidRPr="00856DE7">
              <w:rPr>
                <w:rFonts w:cs="Arial"/>
              </w:rPr>
              <w:t>Pregnancy or Maternity</w:t>
            </w:r>
          </w:p>
        </w:tc>
        <w:tc>
          <w:tcPr>
            <w:tcW w:w="1134" w:type="dxa"/>
            <w:gridSpan w:val="2"/>
          </w:tcPr>
          <w:p w14:paraId="77553DF7" w14:textId="4471FBF5" w:rsidR="001434BE" w:rsidRPr="00856DE7" w:rsidRDefault="001434BE" w:rsidP="001434BE">
            <w:pPr>
              <w:spacing w:before="80" w:after="80"/>
              <w:rPr>
                <w:rFonts w:cs="Arial"/>
              </w:rPr>
            </w:pPr>
            <w:r w:rsidRPr="00513291">
              <w:t>No</w:t>
            </w:r>
          </w:p>
        </w:tc>
        <w:tc>
          <w:tcPr>
            <w:tcW w:w="3626" w:type="dxa"/>
            <w:gridSpan w:val="3"/>
          </w:tcPr>
          <w:p w14:paraId="1C371269" w14:textId="77777777" w:rsidR="001434BE" w:rsidRPr="00856DE7" w:rsidRDefault="001434BE" w:rsidP="001434BE">
            <w:pPr>
              <w:spacing w:before="80" w:after="80"/>
              <w:rPr>
                <w:rFonts w:cs="Arial"/>
              </w:rPr>
            </w:pPr>
          </w:p>
        </w:tc>
      </w:tr>
      <w:tr w:rsidR="001434BE" w:rsidRPr="00856DE7" w14:paraId="241D44A1" w14:textId="77777777" w:rsidTr="009D7D55">
        <w:tc>
          <w:tcPr>
            <w:tcW w:w="5305" w:type="dxa"/>
            <w:gridSpan w:val="6"/>
          </w:tcPr>
          <w:p w14:paraId="6D48BA1A" w14:textId="77777777" w:rsidR="001434BE" w:rsidRPr="00856DE7" w:rsidRDefault="001434BE" w:rsidP="001434BE">
            <w:pPr>
              <w:tabs>
                <w:tab w:val="left" w:pos="278"/>
              </w:tabs>
              <w:spacing w:before="80" w:after="80"/>
              <w:rPr>
                <w:rFonts w:cs="Arial"/>
              </w:rPr>
            </w:pPr>
            <w:r w:rsidRPr="00856DE7">
              <w:rPr>
                <w:rFonts w:cs="Arial"/>
              </w:rPr>
              <w:t>Race</w:t>
            </w:r>
          </w:p>
        </w:tc>
        <w:tc>
          <w:tcPr>
            <w:tcW w:w="1134" w:type="dxa"/>
            <w:gridSpan w:val="2"/>
          </w:tcPr>
          <w:p w14:paraId="1A185662" w14:textId="63DBC576" w:rsidR="001434BE" w:rsidRPr="00856DE7" w:rsidRDefault="001434BE" w:rsidP="001434BE">
            <w:pPr>
              <w:spacing w:before="80" w:after="80"/>
              <w:rPr>
                <w:rFonts w:cs="Arial"/>
              </w:rPr>
            </w:pPr>
            <w:r w:rsidRPr="00513291">
              <w:t>No</w:t>
            </w:r>
          </w:p>
        </w:tc>
        <w:tc>
          <w:tcPr>
            <w:tcW w:w="3626" w:type="dxa"/>
            <w:gridSpan w:val="3"/>
          </w:tcPr>
          <w:p w14:paraId="32B6A679" w14:textId="77777777" w:rsidR="001434BE" w:rsidRPr="00856DE7" w:rsidRDefault="001434BE" w:rsidP="001434BE">
            <w:pPr>
              <w:spacing w:before="80" w:after="80"/>
              <w:rPr>
                <w:rFonts w:cs="Arial"/>
              </w:rPr>
            </w:pPr>
          </w:p>
        </w:tc>
      </w:tr>
      <w:tr w:rsidR="001434BE" w:rsidRPr="00856DE7" w14:paraId="5B1495C8" w14:textId="77777777" w:rsidTr="009D7D55">
        <w:tc>
          <w:tcPr>
            <w:tcW w:w="5305" w:type="dxa"/>
            <w:gridSpan w:val="6"/>
          </w:tcPr>
          <w:p w14:paraId="11DE91B5" w14:textId="77777777" w:rsidR="001434BE" w:rsidRPr="00856DE7" w:rsidRDefault="001434BE" w:rsidP="001434BE">
            <w:pPr>
              <w:tabs>
                <w:tab w:val="left" w:pos="278"/>
              </w:tabs>
              <w:spacing w:before="80" w:after="80"/>
              <w:rPr>
                <w:rFonts w:cs="Arial"/>
              </w:rPr>
            </w:pPr>
            <w:r w:rsidRPr="00856DE7">
              <w:rPr>
                <w:rFonts w:cs="Arial"/>
              </w:rPr>
              <w:t>Sex</w:t>
            </w:r>
          </w:p>
        </w:tc>
        <w:tc>
          <w:tcPr>
            <w:tcW w:w="1134" w:type="dxa"/>
            <w:gridSpan w:val="2"/>
          </w:tcPr>
          <w:p w14:paraId="22888F98" w14:textId="01332972" w:rsidR="001434BE" w:rsidRPr="00856DE7" w:rsidRDefault="001434BE" w:rsidP="001434BE">
            <w:pPr>
              <w:spacing w:before="80" w:after="80"/>
              <w:rPr>
                <w:rFonts w:cs="Arial"/>
              </w:rPr>
            </w:pPr>
            <w:r w:rsidRPr="00513291">
              <w:t>No</w:t>
            </w:r>
          </w:p>
        </w:tc>
        <w:tc>
          <w:tcPr>
            <w:tcW w:w="3626" w:type="dxa"/>
            <w:gridSpan w:val="3"/>
          </w:tcPr>
          <w:p w14:paraId="6BF96E97" w14:textId="77777777" w:rsidR="001434BE" w:rsidRPr="00856DE7" w:rsidRDefault="001434BE" w:rsidP="001434BE">
            <w:pPr>
              <w:spacing w:before="80" w:after="80"/>
              <w:rPr>
                <w:rFonts w:cs="Arial"/>
              </w:rPr>
            </w:pPr>
          </w:p>
        </w:tc>
      </w:tr>
      <w:tr w:rsidR="001434BE" w:rsidRPr="00856DE7" w14:paraId="2C34FE14" w14:textId="77777777" w:rsidTr="009D7D55">
        <w:tc>
          <w:tcPr>
            <w:tcW w:w="5305" w:type="dxa"/>
            <w:gridSpan w:val="6"/>
          </w:tcPr>
          <w:p w14:paraId="3FC30E78" w14:textId="77777777" w:rsidR="001434BE" w:rsidRPr="00856DE7" w:rsidRDefault="001434BE" w:rsidP="001434BE">
            <w:pPr>
              <w:tabs>
                <w:tab w:val="left" w:pos="278"/>
              </w:tabs>
              <w:spacing w:before="80" w:after="80"/>
              <w:rPr>
                <w:rFonts w:cs="Arial"/>
              </w:rPr>
            </w:pPr>
            <w:r w:rsidRPr="00856DE7">
              <w:rPr>
                <w:rFonts w:cs="Arial"/>
              </w:rPr>
              <w:t>Religion and Belief</w:t>
            </w:r>
          </w:p>
        </w:tc>
        <w:tc>
          <w:tcPr>
            <w:tcW w:w="1134" w:type="dxa"/>
            <w:gridSpan w:val="2"/>
          </w:tcPr>
          <w:p w14:paraId="390EF241" w14:textId="22C9AB45" w:rsidR="001434BE" w:rsidRPr="00856DE7" w:rsidRDefault="001434BE" w:rsidP="001434BE">
            <w:pPr>
              <w:spacing w:before="80" w:after="80"/>
              <w:rPr>
                <w:rFonts w:cs="Arial"/>
              </w:rPr>
            </w:pPr>
            <w:r w:rsidRPr="00513291">
              <w:t>No</w:t>
            </w:r>
          </w:p>
        </w:tc>
        <w:tc>
          <w:tcPr>
            <w:tcW w:w="3626" w:type="dxa"/>
            <w:gridSpan w:val="3"/>
          </w:tcPr>
          <w:p w14:paraId="0D70673B" w14:textId="77777777" w:rsidR="001434BE" w:rsidRPr="00856DE7" w:rsidRDefault="001434BE" w:rsidP="001434BE">
            <w:pPr>
              <w:spacing w:before="80" w:after="80"/>
              <w:rPr>
                <w:rFonts w:cs="Arial"/>
              </w:rPr>
            </w:pPr>
          </w:p>
        </w:tc>
      </w:tr>
      <w:tr w:rsidR="001434BE" w:rsidRPr="00856DE7" w14:paraId="629D8424" w14:textId="77777777" w:rsidTr="009D7D55">
        <w:tc>
          <w:tcPr>
            <w:tcW w:w="5305" w:type="dxa"/>
            <w:gridSpan w:val="6"/>
          </w:tcPr>
          <w:p w14:paraId="08040F39" w14:textId="77777777" w:rsidR="001434BE" w:rsidRPr="00856DE7" w:rsidRDefault="001434BE" w:rsidP="001434BE">
            <w:pPr>
              <w:tabs>
                <w:tab w:val="left" w:pos="278"/>
              </w:tabs>
              <w:spacing w:before="80" w:after="80"/>
              <w:rPr>
                <w:rFonts w:cs="Arial"/>
              </w:rPr>
            </w:pPr>
            <w:r w:rsidRPr="00856DE7">
              <w:rPr>
                <w:rFonts w:cs="Arial"/>
              </w:rPr>
              <w:t>Sexual Orientation</w:t>
            </w:r>
          </w:p>
        </w:tc>
        <w:tc>
          <w:tcPr>
            <w:tcW w:w="1134" w:type="dxa"/>
            <w:gridSpan w:val="2"/>
          </w:tcPr>
          <w:p w14:paraId="1EC8BBE6" w14:textId="2DBC3A07" w:rsidR="001434BE" w:rsidRPr="00856DE7" w:rsidRDefault="001434BE" w:rsidP="001434BE">
            <w:pPr>
              <w:spacing w:before="80" w:after="80"/>
              <w:rPr>
                <w:rFonts w:cs="Arial"/>
              </w:rPr>
            </w:pPr>
            <w:r w:rsidRPr="00513291">
              <w:t>No</w:t>
            </w:r>
          </w:p>
        </w:tc>
        <w:tc>
          <w:tcPr>
            <w:tcW w:w="3626" w:type="dxa"/>
            <w:gridSpan w:val="3"/>
          </w:tcPr>
          <w:p w14:paraId="15DD3741" w14:textId="77777777" w:rsidR="001434BE" w:rsidRPr="00856DE7" w:rsidRDefault="001434BE" w:rsidP="001434BE">
            <w:pPr>
              <w:spacing w:before="80" w:after="80"/>
              <w:rPr>
                <w:rFonts w:cs="Arial"/>
              </w:rPr>
            </w:pPr>
          </w:p>
        </w:tc>
      </w:tr>
      <w:tr w:rsidR="00796620" w:rsidRPr="00856DE7" w14:paraId="5AAF2CD6" w14:textId="77777777" w:rsidTr="00AE5034">
        <w:trPr>
          <w:trHeight w:val="782"/>
        </w:trPr>
        <w:tc>
          <w:tcPr>
            <w:tcW w:w="10065" w:type="dxa"/>
            <w:gridSpan w:val="11"/>
          </w:tcPr>
          <w:p w14:paraId="4FE33683" w14:textId="77777777" w:rsidR="00796620" w:rsidRPr="00856DE7" w:rsidRDefault="00796620" w:rsidP="00AE5034">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rsidTr="00AE5034">
        <w:tc>
          <w:tcPr>
            <w:tcW w:w="10065" w:type="dxa"/>
            <w:gridSpan w:val="11"/>
            <w:shd w:val="clear" w:color="auto" w:fill="B6DDE8"/>
          </w:tcPr>
          <w:p w14:paraId="0D57E124" w14:textId="77777777" w:rsidR="00796620" w:rsidRPr="00856DE7" w:rsidRDefault="00796620" w:rsidP="00AE5034">
            <w:pPr>
              <w:spacing w:before="80" w:after="80"/>
              <w:rPr>
                <w:rFonts w:cs="Arial"/>
                <w:b/>
                <w:bCs/>
              </w:rPr>
            </w:pPr>
            <w:r w:rsidRPr="00856DE7">
              <w:rPr>
                <w:rFonts w:cs="Arial"/>
                <w:b/>
                <w:bCs/>
              </w:rPr>
              <w:t>Stage 2 – Full Impact Assessment</w:t>
            </w:r>
          </w:p>
        </w:tc>
      </w:tr>
      <w:tr w:rsidR="00796620" w:rsidRPr="00856DE7" w14:paraId="0979E79D" w14:textId="77777777" w:rsidTr="00AE5034">
        <w:tc>
          <w:tcPr>
            <w:tcW w:w="3403" w:type="dxa"/>
            <w:gridSpan w:val="3"/>
            <w:shd w:val="clear" w:color="auto" w:fill="FFFFFF"/>
          </w:tcPr>
          <w:p w14:paraId="5B55CF44" w14:textId="77777777" w:rsidR="00796620" w:rsidRPr="00856DE7" w:rsidRDefault="00796620" w:rsidP="00AE5034">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rsidP="00AE5034">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rsidP="00AE5034">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rsidP="00AE5034">
            <w:pPr>
              <w:spacing w:before="80" w:after="80"/>
              <w:ind w:left="33"/>
              <w:jc w:val="center"/>
              <w:rPr>
                <w:rFonts w:cs="Arial"/>
                <w:b/>
                <w:bCs/>
                <w:sz w:val="16"/>
                <w:szCs w:val="16"/>
              </w:rPr>
            </w:pPr>
            <w:r w:rsidRPr="00856DE7">
              <w:rPr>
                <w:rFonts w:cs="Arial"/>
                <w:b/>
                <w:bCs/>
                <w:sz w:val="16"/>
                <w:szCs w:val="16"/>
              </w:rPr>
              <w:t>(what needs to be done to minimise / remove the impact)</w:t>
            </w:r>
          </w:p>
        </w:tc>
        <w:tc>
          <w:tcPr>
            <w:tcW w:w="2126" w:type="dxa"/>
            <w:shd w:val="clear" w:color="auto" w:fill="FFFFFF"/>
          </w:tcPr>
          <w:p w14:paraId="1C4E78B8" w14:textId="77777777" w:rsidR="00796620" w:rsidRPr="00856DE7" w:rsidRDefault="00796620" w:rsidP="00AE5034">
            <w:pPr>
              <w:spacing w:before="80" w:after="80"/>
              <w:ind w:left="34"/>
              <w:jc w:val="center"/>
              <w:rPr>
                <w:rFonts w:cs="Arial"/>
                <w:b/>
                <w:bCs/>
              </w:rPr>
            </w:pPr>
            <w:r w:rsidRPr="00856DE7">
              <w:rPr>
                <w:rFonts w:cs="Arial"/>
                <w:b/>
                <w:bCs/>
              </w:rPr>
              <w:t>Responsible Officer</w:t>
            </w:r>
          </w:p>
        </w:tc>
      </w:tr>
      <w:tr w:rsidR="00796620" w:rsidRPr="00856DE7" w14:paraId="63227A98" w14:textId="77777777" w:rsidTr="00AE5034">
        <w:tc>
          <w:tcPr>
            <w:tcW w:w="3403" w:type="dxa"/>
            <w:gridSpan w:val="3"/>
          </w:tcPr>
          <w:p w14:paraId="69CB7C58" w14:textId="334B4E66" w:rsidR="00796620" w:rsidRPr="00856DE7" w:rsidRDefault="00796620" w:rsidP="00AE5034">
            <w:pPr>
              <w:spacing w:before="80" w:after="80"/>
              <w:rPr>
                <w:rFonts w:cs="Arial"/>
              </w:rPr>
            </w:pPr>
          </w:p>
        </w:tc>
        <w:tc>
          <w:tcPr>
            <w:tcW w:w="1276" w:type="dxa"/>
            <w:gridSpan w:val="2"/>
          </w:tcPr>
          <w:p w14:paraId="3E6E1F66" w14:textId="77777777" w:rsidR="00796620" w:rsidRPr="00856DE7" w:rsidRDefault="00796620" w:rsidP="00AE5034">
            <w:pPr>
              <w:spacing w:before="80" w:after="80"/>
              <w:ind w:left="34"/>
              <w:rPr>
                <w:rFonts w:cs="Arial"/>
              </w:rPr>
            </w:pPr>
          </w:p>
        </w:tc>
        <w:tc>
          <w:tcPr>
            <w:tcW w:w="3260" w:type="dxa"/>
            <w:gridSpan w:val="5"/>
          </w:tcPr>
          <w:p w14:paraId="21B76752" w14:textId="77777777" w:rsidR="00796620" w:rsidRPr="00856DE7" w:rsidRDefault="00796620" w:rsidP="001434BE">
            <w:pPr>
              <w:spacing w:before="80" w:after="80"/>
              <w:rPr>
                <w:rFonts w:cs="Arial"/>
              </w:rPr>
            </w:pPr>
          </w:p>
        </w:tc>
        <w:tc>
          <w:tcPr>
            <w:tcW w:w="2126" w:type="dxa"/>
          </w:tcPr>
          <w:p w14:paraId="14037169" w14:textId="77777777" w:rsidR="00796620" w:rsidRPr="00856DE7" w:rsidRDefault="00796620" w:rsidP="001434BE">
            <w:pPr>
              <w:spacing w:before="80" w:after="80"/>
              <w:rPr>
                <w:rFonts w:cs="Arial"/>
              </w:rPr>
            </w:pPr>
          </w:p>
        </w:tc>
      </w:tr>
      <w:tr w:rsidR="00796620" w:rsidRPr="00856DE7" w14:paraId="161D9DAB" w14:textId="77777777" w:rsidTr="00AE5034">
        <w:tc>
          <w:tcPr>
            <w:tcW w:w="10065" w:type="dxa"/>
            <w:gridSpan w:val="11"/>
            <w:shd w:val="clear" w:color="auto" w:fill="B6DDE8"/>
          </w:tcPr>
          <w:p w14:paraId="3CC614ED" w14:textId="77777777" w:rsidR="00796620" w:rsidRPr="00856DE7" w:rsidRDefault="00796620" w:rsidP="00AE5034">
            <w:pPr>
              <w:spacing w:before="80" w:after="80"/>
              <w:rPr>
                <w:rFonts w:cs="Arial"/>
                <w:b/>
              </w:rPr>
            </w:pPr>
            <w:r w:rsidRPr="00856DE7">
              <w:rPr>
                <w:rFonts w:cs="Arial"/>
                <w:b/>
              </w:rPr>
              <w:t>Monitoring of Actions</w:t>
            </w:r>
          </w:p>
        </w:tc>
      </w:tr>
      <w:tr w:rsidR="00796620" w:rsidRPr="00856DE7" w14:paraId="681709BA" w14:textId="77777777" w:rsidTr="00AE5034">
        <w:tc>
          <w:tcPr>
            <w:tcW w:w="10065" w:type="dxa"/>
            <w:gridSpan w:val="11"/>
          </w:tcPr>
          <w:p w14:paraId="09366D3C" w14:textId="77777777" w:rsidR="00796620" w:rsidRPr="00856DE7" w:rsidRDefault="00796620" w:rsidP="00AE5034">
            <w:pPr>
              <w:spacing w:before="80" w:after="80"/>
              <w:rPr>
                <w:rFonts w:cs="Arial"/>
              </w:rPr>
            </w:pPr>
            <w:r w:rsidRPr="00856DE7">
              <w:rPr>
                <w:rFonts w:cs="Arial"/>
              </w:rPr>
              <w:t>The monitoring of actions to mitigate any impact will be undertaken at the appropriate level</w:t>
            </w:r>
          </w:p>
          <w:p w14:paraId="08094E8C" w14:textId="77777777" w:rsidR="00796620" w:rsidRPr="00856DE7" w:rsidRDefault="00796620" w:rsidP="00AE5034">
            <w:pPr>
              <w:tabs>
                <w:tab w:val="left" w:pos="5168"/>
              </w:tabs>
              <w:spacing w:before="80" w:after="80"/>
              <w:rPr>
                <w:rFonts w:cs="Arial"/>
              </w:rPr>
            </w:pP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24" w:name="_Toc204681815"/>
      <w:r w:rsidRPr="00856DE7">
        <w:lastRenderedPageBreak/>
        <w:t>IMPLEMENTATION PLAN</w:t>
      </w:r>
      <w:bookmarkEnd w:id="24"/>
      <w:r w:rsidRPr="00856DE7">
        <w:t xml:space="preserve"> </w:t>
      </w:r>
    </w:p>
    <w:p w14:paraId="625C0FE1" w14:textId="545000C0" w:rsidR="00635894" w:rsidRPr="00502E62" w:rsidRDefault="00635894" w:rsidP="00824956">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rsidTr="00746A5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746A57">
        <w:tc>
          <w:tcPr>
            <w:tcW w:w="2952" w:type="dxa"/>
            <w:shd w:val="clear" w:color="auto" w:fill="auto"/>
          </w:tcPr>
          <w:p w14:paraId="17EB7C3F" w14:textId="77777777" w:rsidR="00A33A94" w:rsidRPr="00A33A94" w:rsidRDefault="00A33A94" w:rsidP="00A33A94">
            <w:pPr>
              <w:spacing w:before="60" w:after="60"/>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tcPr>
          <w:p w14:paraId="400A2E0A" w14:textId="77777777" w:rsidR="00A33A94" w:rsidRPr="00A33A94" w:rsidRDefault="00A33A94" w:rsidP="00A33A94">
            <w:pPr>
              <w:spacing w:before="60" w:after="60"/>
              <w:rPr>
                <w:rFonts w:cs="Arial"/>
                <w:szCs w:val="22"/>
              </w:rPr>
            </w:pPr>
            <w:r>
              <w:rPr>
                <w:rFonts w:cs="Arial"/>
                <w:szCs w:val="22"/>
              </w:rPr>
              <w:t>Education and Development Administrator</w:t>
            </w:r>
          </w:p>
        </w:tc>
        <w:tc>
          <w:tcPr>
            <w:tcW w:w="2952" w:type="dxa"/>
            <w:shd w:val="clear" w:color="auto" w:fill="auto"/>
          </w:tcPr>
          <w:p w14:paraId="61951577" w14:textId="77777777" w:rsidR="00A33A94" w:rsidRPr="00856DE7" w:rsidRDefault="00A33A94" w:rsidP="00A33A94">
            <w:pPr>
              <w:spacing w:before="60" w:after="60"/>
              <w:rPr>
                <w:rFonts w:cs="Arial"/>
              </w:rPr>
            </w:pPr>
            <w:r w:rsidRPr="00856DE7">
              <w:rPr>
                <w:rFonts w:cs="Arial"/>
              </w:rPr>
              <w:t>Within 2 weeks following ratification</w:t>
            </w:r>
          </w:p>
        </w:tc>
      </w:tr>
      <w:tr w:rsidR="00A33A94" w:rsidRPr="00856DE7" w14:paraId="08EB0C8B" w14:textId="77777777" w:rsidTr="00746A57">
        <w:tc>
          <w:tcPr>
            <w:tcW w:w="2952" w:type="dxa"/>
            <w:shd w:val="clear" w:color="auto" w:fill="auto"/>
          </w:tcPr>
          <w:p w14:paraId="5E921F21" w14:textId="77777777" w:rsidR="00A33A94" w:rsidRPr="00A33A94" w:rsidRDefault="00A33A94" w:rsidP="00A33A94">
            <w:pPr>
              <w:spacing w:before="60" w:after="60"/>
              <w:rPr>
                <w:rFonts w:cs="Arial"/>
              </w:rPr>
            </w:pPr>
            <w:r w:rsidRPr="00A33A94">
              <w:rPr>
                <w:rFonts w:cs="Arial"/>
              </w:rPr>
              <w:t xml:space="preserve">Email to all staff </w:t>
            </w:r>
          </w:p>
        </w:tc>
        <w:tc>
          <w:tcPr>
            <w:tcW w:w="2952" w:type="dxa"/>
            <w:shd w:val="clear" w:color="auto" w:fill="auto"/>
          </w:tcPr>
          <w:p w14:paraId="26C12130" w14:textId="77777777" w:rsidR="00A33A94" w:rsidRPr="00A33A94" w:rsidRDefault="00502E62" w:rsidP="00A33A94">
            <w:pPr>
              <w:spacing w:before="60" w:after="60"/>
              <w:rPr>
                <w:rFonts w:cs="Arial"/>
                <w:szCs w:val="22"/>
              </w:rPr>
            </w:pPr>
            <w:r>
              <w:rPr>
                <w:rFonts w:cs="Arial"/>
                <w:szCs w:val="22"/>
              </w:rPr>
              <w:t>Education and Development Administrator</w:t>
            </w:r>
          </w:p>
        </w:tc>
        <w:tc>
          <w:tcPr>
            <w:tcW w:w="2952" w:type="dxa"/>
            <w:shd w:val="clear" w:color="auto" w:fill="auto"/>
          </w:tcPr>
          <w:p w14:paraId="5A22ED00" w14:textId="77777777" w:rsidR="00A33A94" w:rsidRPr="00856DE7" w:rsidRDefault="00A33A94" w:rsidP="00A33A94">
            <w:pPr>
              <w:spacing w:before="60" w:after="60"/>
              <w:rPr>
                <w:rFonts w:cs="Arial"/>
              </w:rPr>
            </w:pPr>
            <w:r w:rsidRPr="00856DE7">
              <w:rPr>
                <w:rFonts w:cs="Arial"/>
              </w:rPr>
              <w:t>Within 2 weeks following ratification</w:t>
            </w:r>
          </w:p>
        </w:tc>
      </w:tr>
      <w:tr w:rsidR="00502E62" w:rsidRPr="00856DE7" w14:paraId="3FB9A0DE" w14:textId="77777777" w:rsidTr="00746A57">
        <w:tc>
          <w:tcPr>
            <w:tcW w:w="2952" w:type="dxa"/>
            <w:shd w:val="clear" w:color="auto" w:fill="auto"/>
          </w:tcPr>
          <w:p w14:paraId="3C4CE76B" w14:textId="77777777" w:rsidR="00502E62" w:rsidRPr="00A33A94" w:rsidRDefault="00502E62" w:rsidP="00A33A94">
            <w:pPr>
              <w:spacing w:before="60" w:after="60"/>
              <w:rPr>
                <w:rFonts w:cs="Arial"/>
              </w:rPr>
            </w:pPr>
            <w:r>
              <w:rPr>
                <w:rFonts w:cs="Arial"/>
              </w:rPr>
              <w:t>Upload policy (+/- assessment tool) to Virtual College and allocate to relevant staff</w:t>
            </w:r>
          </w:p>
        </w:tc>
        <w:tc>
          <w:tcPr>
            <w:tcW w:w="2952" w:type="dxa"/>
            <w:shd w:val="clear" w:color="auto" w:fill="auto"/>
          </w:tcPr>
          <w:p w14:paraId="6D56D32D" w14:textId="77777777" w:rsidR="00502E62" w:rsidRDefault="00502E62" w:rsidP="00A33A94">
            <w:pPr>
              <w:spacing w:before="60" w:after="60"/>
              <w:rPr>
                <w:rFonts w:cs="Arial"/>
                <w:szCs w:val="22"/>
              </w:rPr>
            </w:pPr>
            <w:r>
              <w:rPr>
                <w:rFonts w:cs="Arial"/>
                <w:szCs w:val="22"/>
              </w:rPr>
              <w:t>Education and Development Department</w:t>
            </w:r>
          </w:p>
        </w:tc>
        <w:tc>
          <w:tcPr>
            <w:tcW w:w="2952" w:type="dxa"/>
            <w:shd w:val="clear" w:color="auto" w:fill="auto"/>
          </w:tcPr>
          <w:p w14:paraId="36F06759" w14:textId="77777777" w:rsidR="00502E62" w:rsidRPr="00856DE7" w:rsidRDefault="00502E62" w:rsidP="00A33A94">
            <w:pPr>
              <w:spacing w:before="60" w:after="60"/>
              <w:rPr>
                <w:rFonts w:cs="Arial"/>
              </w:rPr>
            </w:pPr>
            <w:r w:rsidRPr="00856DE7">
              <w:rPr>
                <w:rFonts w:cs="Arial"/>
              </w:rPr>
              <w:t>Within 2 weeks following ratification</w:t>
            </w:r>
          </w:p>
        </w:tc>
      </w:tr>
      <w:tr w:rsidR="00201CA3" w:rsidRPr="00856DE7" w14:paraId="678AA1A9" w14:textId="77777777" w:rsidTr="00746A57">
        <w:tc>
          <w:tcPr>
            <w:tcW w:w="2952" w:type="dxa"/>
            <w:shd w:val="clear" w:color="auto" w:fill="auto"/>
          </w:tcPr>
          <w:p w14:paraId="4F5D2ED4" w14:textId="77777777" w:rsidR="00201CA3" w:rsidRPr="00A33A94" w:rsidRDefault="00A33A94" w:rsidP="00502E62">
            <w:pPr>
              <w:spacing w:before="60" w:after="60"/>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shd w:val="clear" w:color="auto" w:fill="auto"/>
          </w:tcPr>
          <w:p w14:paraId="44DA4E1C" w14:textId="77777777" w:rsidR="00201CA3" w:rsidRPr="00A33A94" w:rsidRDefault="00A33A94" w:rsidP="00A33A94">
            <w:pPr>
              <w:spacing w:before="60" w:after="60"/>
              <w:rPr>
                <w:rFonts w:cs="Arial"/>
                <w:szCs w:val="22"/>
              </w:rPr>
            </w:pPr>
            <w:r w:rsidRPr="00A33A94">
              <w:rPr>
                <w:rFonts w:cs="Arial"/>
                <w:szCs w:val="22"/>
              </w:rPr>
              <w:t xml:space="preserve">All staff </w:t>
            </w:r>
            <w:proofErr w:type="gramStart"/>
            <w:r w:rsidRPr="00A33A94">
              <w:rPr>
                <w:rFonts w:cs="Arial"/>
                <w:szCs w:val="22"/>
              </w:rPr>
              <w:t>notified</w:t>
            </w:r>
            <w:proofErr w:type="gramEnd"/>
            <w:r w:rsidRPr="00A33A94">
              <w:rPr>
                <w:rFonts w:cs="Arial"/>
                <w:szCs w:val="22"/>
              </w:rPr>
              <w:t xml:space="preserve"> via Virtual College.</w:t>
            </w:r>
          </w:p>
        </w:tc>
        <w:tc>
          <w:tcPr>
            <w:tcW w:w="2952" w:type="dxa"/>
            <w:shd w:val="clear" w:color="auto" w:fill="auto"/>
          </w:tcPr>
          <w:p w14:paraId="05F372E0" w14:textId="3FEB4DBE" w:rsidR="00201CA3" w:rsidRPr="00856DE7" w:rsidRDefault="00A33A94" w:rsidP="00502E62">
            <w:pPr>
              <w:spacing w:before="60" w:after="60"/>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bl>
    <w:p w14:paraId="7D05ED4A" w14:textId="77777777" w:rsidR="00101BBD" w:rsidRPr="00856DE7" w:rsidRDefault="00F97AD3" w:rsidP="00856DE7">
      <w:pPr>
        <w:pStyle w:val="Heading1"/>
      </w:pPr>
      <w:bookmarkStart w:id="25" w:name="_Toc204681816"/>
      <w:r w:rsidRPr="00856DE7">
        <w:t>GLOSSARY OF TERMS</w:t>
      </w:r>
      <w:bookmarkEnd w:id="25"/>
    </w:p>
    <w:p w14:paraId="607EE8E5" w14:textId="2B5324A6" w:rsidR="00796620" w:rsidRPr="001434BE" w:rsidRDefault="001434BE" w:rsidP="00824956">
      <w:pPr>
        <w:rPr>
          <w:rFonts w:cs="Arial"/>
        </w:rPr>
      </w:pPr>
      <w:r w:rsidRPr="001434BE">
        <w:rPr>
          <w:rFonts w:cs="Arial"/>
        </w:rPr>
        <w:t>None</w:t>
      </w:r>
    </w:p>
    <w:p w14:paraId="63A2DC08" w14:textId="77777777" w:rsidR="00233DA9" w:rsidRDefault="00233DA9" w:rsidP="00824956">
      <w:pPr>
        <w:rPr>
          <w:rFonts w:cs="Arial"/>
        </w:rPr>
        <w:sectPr w:rsidR="00233DA9"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56DE7">
      <w:pPr>
        <w:pStyle w:val="Heading1"/>
      </w:pPr>
      <w:bookmarkStart w:id="26" w:name="_Toc204681817"/>
      <w:r w:rsidRPr="00856DE7">
        <w:lastRenderedPageBreak/>
        <w:t>REFERENCES</w:t>
      </w:r>
      <w:bookmarkEnd w:id="26"/>
    </w:p>
    <w:p w14:paraId="430D0D1F" w14:textId="6B7F600A" w:rsidR="001434BE" w:rsidRPr="001434BE" w:rsidRDefault="001434BE" w:rsidP="001434BE">
      <w:pPr>
        <w:rPr>
          <w:rFonts w:cs="Arial"/>
        </w:rPr>
      </w:pPr>
      <w:r w:rsidRPr="001434BE">
        <w:rPr>
          <w:rFonts w:cs="Arial"/>
        </w:rPr>
        <w:t xml:space="preserve">Age UK Sutton (2018) Fundraising Policy. Available at </w:t>
      </w:r>
      <w:hyperlink r:id="rId25" w:history="1">
        <w:r w:rsidRPr="001434BE">
          <w:rPr>
            <w:color w:val="0000FF"/>
            <w:u w:val="single"/>
          </w:rPr>
          <w:t>Microsoft Word - 14.2.1 - Age UK Sutton Fundraising policy (1).docx</w:t>
        </w:r>
      </w:hyperlink>
      <w:r w:rsidR="00B21954">
        <w:t>.</w:t>
      </w:r>
      <w:r>
        <w:t xml:space="preserve"> </w:t>
      </w:r>
      <w:r w:rsidR="00792F5A">
        <w:rPr>
          <w:rFonts w:cs="Arial"/>
        </w:rPr>
        <w:t>Last accessed 29/05/2025</w:t>
      </w:r>
    </w:p>
    <w:p w14:paraId="03BF3364" w14:textId="36B90D93" w:rsidR="001434BE" w:rsidRDefault="001434BE" w:rsidP="001434BE">
      <w:pPr>
        <w:rPr>
          <w:rFonts w:cs="Arial"/>
        </w:rPr>
      </w:pPr>
      <w:r w:rsidRPr="001434BE">
        <w:rPr>
          <w:rFonts w:cs="Arial"/>
        </w:rPr>
        <w:t>Fundraising Regulator (20</w:t>
      </w:r>
      <w:r w:rsidR="00233760">
        <w:rPr>
          <w:rFonts w:cs="Arial"/>
        </w:rPr>
        <w:t>19</w:t>
      </w:r>
      <w:r w:rsidRPr="001434BE">
        <w:rPr>
          <w:rFonts w:cs="Arial"/>
        </w:rPr>
        <w:t xml:space="preserve">) Code of Fundraising Practice. Available at </w:t>
      </w:r>
      <w:hyperlink r:id="rId26" w:history="1">
        <w:r w:rsidRPr="001434BE">
          <w:rPr>
            <w:color w:val="0000FF"/>
            <w:u w:val="single"/>
          </w:rPr>
          <w:t>Code of Fundraising Practice | Fundraising Regulator</w:t>
        </w:r>
      </w:hyperlink>
      <w:r w:rsidR="00B21954">
        <w:t>.</w:t>
      </w:r>
      <w:r>
        <w:t xml:space="preserve"> </w:t>
      </w:r>
      <w:r w:rsidR="00792F5A">
        <w:rPr>
          <w:rFonts w:cs="Arial"/>
        </w:rPr>
        <w:t>Last accessed 29/05/2025</w:t>
      </w:r>
    </w:p>
    <w:p w14:paraId="6F37934A" w14:textId="4E64D553" w:rsidR="00726CB4" w:rsidRPr="001434BE" w:rsidRDefault="00726CB4" w:rsidP="001434BE">
      <w:pPr>
        <w:rPr>
          <w:rFonts w:cs="Arial"/>
        </w:rPr>
      </w:pPr>
      <w:r>
        <w:rPr>
          <w:rFonts w:cs="Arial"/>
        </w:rPr>
        <w:t>Government of Jersey</w:t>
      </w:r>
      <w:r w:rsidR="006E2BFB">
        <w:rPr>
          <w:rFonts w:cs="Arial"/>
        </w:rPr>
        <w:t xml:space="preserve"> (2023)</w:t>
      </w:r>
      <w:r>
        <w:rPr>
          <w:rFonts w:cs="Arial"/>
        </w:rPr>
        <w:t xml:space="preserve"> </w:t>
      </w:r>
      <w:r w:rsidR="006E2BFB" w:rsidRPr="006E2BFB">
        <w:rPr>
          <w:rFonts w:cs="Arial"/>
          <w:i/>
          <w:iCs/>
        </w:rPr>
        <w:t>Volunteering policy for public servants.</w:t>
      </w:r>
      <w:r w:rsidR="006E2BFB">
        <w:rPr>
          <w:rFonts w:cs="Arial"/>
        </w:rPr>
        <w:t xml:space="preserve"> Available at </w:t>
      </w:r>
      <w:hyperlink r:id="rId27" w:history="1">
        <w:r w:rsidRPr="00726CB4">
          <w:rPr>
            <w:color w:val="0000FF"/>
            <w:u w:val="single"/>
          </w:rPr>
          <w:t>Volunteering policy for public servants in Jersey</w:t>
        </w:r>
      </w:hyperlink>
      <w:r w:rsidR="006E2BFB">
        <w:t xml:space="preserve">. </w:t>
      </w:r>
      <w:r w:rsidR="006E2BFB" w:rsidRPr="001434BE">
        <w:rPr>
          <w:rFonts w:cs="Arial"/>
        </w:rPr>
        <w:t xml:space="preserve">Last accessed </w:t>
      </w:r>
      <w:r w:rsidR="006E2BFB">
        <w:rPr>
          <w:rFonts w:cs="Arial"/>
        </w:rPr>
        <w:t>02/07</w:t>
      </w:r>
      <w:r w:rsidR="006E2BFB" w:rsidRPr="00233760">
        <w:rPr>
          <w:rFonts w:cs="Arial"/>
        </w:rPr>
        <w:t>/</w:t>
      </w:r>
      <w:r w:rsidR="006E2BFB">
        <w:rPr>
          <w:rFonts w:cs="Arial"/>
        </w:rPr>
        <w:t>2025</w:t>
      </w:r>
    </w:p>
    <w:p w14:paraId="344B4D6B" w14:textId="0CD92B86" w:rsidR="001434BE" w:rsidRPr="001434BE" w:rsidRDefault="001434BE" w:rsidP="001434BE">
      <w:pPr>
        <w:rPr>
          <w:rFonts w:cs="Arial"/>
        </w:rPr>
      </w:pPr>
      <w:r w:rsidRPr="001434BE">
        <w:rPr>
          <w:rFonts w:cs="Arial"/>
        </w:rPr>
        <w:t>J</w:t>
      </w:r>
      <w:r w:rsidR="00B21954">
        <w:rPr>
          <w:rFonts w:cs="Arial"/>
        </w:rPr>
        <w:t>ersey Gambling Commission (202</w:t>
      </w:r>
      <w:r w:rsidR="00233760">
        <w:rPr>
          <w:rFonts w:cs="Arial"/>
        </w:rPr>
        <w:t>5</w:t>
      </w:r>
      <w:r w:rsidR="00B21954">
        <w:rPr>
          <w:rFonts w:cs="Arial"/>
        </w:rPr>
        <w:t>a</w:t>
      </w:r>
      <w:r w:rsidRPr="001434BE">
        <w:rPr>
          <w:rFonts w:cs="Arial"/>
        </w:rPr>
        <w:t xml:space="preserve">) Code of Conduct for Social and Charitable Gambling. Available at </w:t>
      </w:r>
      <w:hyperlink r:id="rId28" w:history="1">
        <w:r w:rsidR="00233760" w:rsidRPr="00233760">
          <w:rPr>
            <w:rStyle w:val="Hyperlink"/>
            <w:color w:val="0000FF"/>
          </w:rPr>
          <w:t>https://www.jgc.je/assets/Code-of-Conduct-for-Social-and-Charitable-Gambling-March-2025.pdf</w:t>
        </w:r>
      </w:hyperlink>
      <w:r w:rsidR="00233760">
        <w:t xml:space="preserve"> </w:t>
      </w:r>
      <w:r>
        <w:rPr>
          <w:rFonts w:cs="Arial"/>
        </w:rPr>
        <w:t xml:space="preserve">Last accessed </w:t>
      </w:r>
      <w:r w:rsidR="00233760">
        <w:rPr>
          <w:rFonts w:cs="Arial"/>
        </w:rPr>
        <w:t>29/05/2025</w:t>
      </w:r>
    </w:p>
    <w:p w14:paraId="1A34696F" w14:textId="77777777" w:rsidR="00B21954" w:rsidRDefault="00B21954" w:rsidP="007B2172">
      <w:pPr>
        <w:rPr>
          <w:rFonts w:cs="Arial"/>
        </w:rPr>
      </w:pPr>
      <w:r>
        <w:rPr>
          <w:rFonts w:cs="Arial"/>
        </w:rPr>
        <w:t>Jersey Gambling Commission (202</w:t>
      </w:r>
      <w:r w:rsidR="00233760">
        <w:rPr>
          <w:rFonts w:cs="Arial"/>
        </w:rPr>
        <w:t>5</w:t>
      </w:r>
      <w:r w:rsidR="001434BE" w:rsidRPr="001434BE">
        <w:rPr>
          <w:rFonts w:cs="Arial"/>
        </w:rPr>
        <w:t xml:space="preserve">b) Advice Note: Conducting Lotteries Raising funds for Charitable, Sporting or Other Good Causes. Available at </w:t>
      </w:r>
      <w:hyperlink r:id="rId29" w:history="1">
        <w:r w:rsidR="00233760" w:rsidRPr="00233760">
          <w:rPr>
            <w:rStyle w:val="Hyperlink"/>
            <w:color w:val="0000FF"/>
          </w:rPr>
          <w:t>https://www.jgc.je/assets/ADVICE-Conducting-Lotteries-March-2025.pdf</w:t>
        </w:r>
      </w:hyperlink>
      <w:r w:rsidR="00233760">
        <w:t xml:space="preserve"> </w:t>
      </w:r>
      <w:r w:rsidR="001434BE" w:rsidRPr="001434BE">
        <w:rPr>
          <w:rFonts w:cs="Arial"/>
        </w:rPr>
        <w:t xml:space="preserve">Last accessed </w:t>
      </w:r>
      <w:r w:rsidR="00233760" w:rsidRPr="00233760">
        <w:rPr>
          <w:rFonts w:cs="Arial"/>
        </w:rPr>
        <w:t>29/05/</w:t>
      </w:r>
      <w:r w:rsidR="007B2172">
        <w:rPr>
          <w:rFonts w:cs="Arial"/>
        </w:rPr>
        <w:t>20</w:t>
      </w:r>
    </w:p>
    <w:p w14:paraId="2D71CFA2" w14:textId="77777777" w:rsidR="00B02EB5" w:rsidRDefault="00B02EB5" w:rsidP="007B2172">
      <w:pPr>
        <w:rPr>
          <w:rFonts w:cs="Arial"/>
        </w:rPr>
      </w:pPr>
    </w:p>
    <w:sectPr w:rsidR="00B02EB5"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3C435" w14:textId="77777777" w:rsidR="00310092" w:rsidRDefault="00310092" w:rsidP="0085498A">
      <w:r>
        <w:separator/>
      </w:r>
    </w:p>
  </w:endnote>
  <w:endnote w:type="continuationSeparator" w:id="0">
    <w:p w14:paraId="6B5351F9" w14:textId="77777777" w:rsidR="00310092" w:rsidRDefault="00310092" w:rsidP="0085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Medium">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B417" w14:textId="77777777" w:rsidR="002856D3" w:rsidRDefault="00285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21203"/>
      <w:docPartObj>
        <w:docPartGallery w:val="Page Numbers (Bottom of Page)"/>
        <w:docPartUnique/>
      </w:docPartObj>
    </w:sdtPr>
    <w:sdtEndPr>
      <w:rPr>
        <w:noProof/>
      </w:rPr>
    </w:sdtEndPr>
    <w:sdtContent>
      <w:p w14:paraId="5CF1BDF5" w14:textId="7CB82A8D" w:rsidR="002856D3" w:rsidRDefault="002856D3" w:rsidP="002856D3">
        <w:pPr>
          <w:pStyle w:val="Footer"/>
          <w:jc w:val="center"/>
        </w:pPr>
        <w:r>
          <w:fldChar w:fldCharType="begin"/>
        </w:r>
        <w:r>
          <w:instrText xml:space="preserve"> PAGE   \* MERGEFORMAT </w:instrText>
        </w:r>
        <w:r>
          <w:fldChar w:fldCharType="separate"/>
        </w:r>
        <w:r w:rsidR="00A22098">
          <w:rPr>
            <w:noProof/>
          </w:rPr>
          <w:t>8</w:t>
        </w:r>
        <w:r>
          <w:rPr>
            <w:noProof/>
          </w:rPr>
          <w:fldChar w:fldCharType="end"/>
        </w:r>
      </w:p>
    </w:sdtContent>
  </w:sdt>
  <w:p w14:paraId="7413E5D1" w14:textId="26EFED0C" w:rsidR="0045217F" w:rsidRDefault="0045217F" w:rsidP="002856D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30" w14:textId="77777777" w:rsidR="002856D3" w:rsidRDefault="002856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2228AD94" w14:textId="53573A7F" w:rsidR="002856D3" w:rsidRDefault="00796620">
        <w:pPr>
          <w:pStyle w:val="Footer"/>
          <w:jc w:val="center"/>
          <w:rPr>
            <w:noProof/>
          </w:rPr>
        </w:pPr>
        <w:r>
          <w:fldChar w:fldCharType="begin"/>
        </w:r>
        <w:r>
          <w:instrText xml:space="preserve"> PAGE   \* MERGEFORMAT </w:instrText>
        </w:r>
        <w:r>
          <w:fldChar w:fldCharType="separate"/>
        </w:r>
        <w:r w:rsidR="00A22098">
          <w:rPr>
            <w:noProof/>
          </w:rPr>
          <w:t>12</w:t>
        </w:r>
        <w:r>
          <w:rPr>
            <w:noProof/>
          </w:rPr>
          <w:fldChar w:fldCharType="end"/>
        </w:r>
      </w:p>
      <w:p w14:paraId="104F6CF4" w14:textId="1BF1B13A" w:rsidR="00796620" w:rsidRDefault="006F26C9">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346F" w14:textId="77777777" w:rsidR="00310092" w:rsidRDefault="00310092" w:rsidP="0085498A">
      <w:r>
        <w:separator/>
      </w:r>
    </w:p>
  </w:footnote>
  <w:footnote w:type="continuationSeparator" w:id="0">
    <w:p w14:paraId="4BDE5A38" w14:textId="77777777" w:rsidR="00310092" w:rsidRDefault="00310092" w:rsidP="0085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621D" w14:textId="3BAA67F0" w:rsidR="002856D3" w:rsidRDefault="00285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13623343"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2629" w14:textId="201E0B76" w:rsidR="002856D3" w:rsidRDefault="002856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96EE" w14:textId="1A51742A" w:rsidR="00E34905" w:rsidRDefault="00E349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5505" w14:textId="41E23803" w:rsidR="00E34905" w:rsidRDefault="00E349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39555959"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3" name="Picture 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B3F7" w14:textId="7068176E" w:rsidR="00E34905" w:rsidRDefault="00E349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FBAC" w14:textId="6457C2DB" w:rsidR="00E34905" w:rsidRDefault="00E349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0CCE" w14:textId="1E8BB33E" w:rsidR="00E34905" w:rsidRDefault="00E34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633"/>
    <w:multiLevelType w:val="hybridMultilevel"/>
    <w:tmpl w:val="0B0AE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46E6"/>
    <w:multiLevelType w:val="multilevel"/>
    <w:tmpl w:val="2F66C6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05FED"/>
    <w:multiLevelType w:val="hybridMultilevel"/>
    <w:tmpl w:val="85C2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A303F"/>
    <w:multiLevelType w:val="hybridMultilevel"/>
    <w:tmpl w:val="5EA6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02991"/>
    <w:multiLevelType w:val="hybridMultilevel"/>
    <w:tmpl w:val="22660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F72AE"/>
    <w:multiLevelType w:val="multilevel"/>
    <w:tmpl w:val="9C225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EB53E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2244E0"/>
    <w:multiLevelType w:val="multilevel"/>
    <w:tmpl w:val="09E63D44"/>
    <w:lvl w:ilvl="0">
      <w:start w:val="2"/>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8" w15:restartNumberingAfterBreak="0">
    <w:nsid w:val="14D27DB4"/>
    <w:multiLevelType w:val="multilevel"/>
    <w:tmpl w:val="68E23388"/>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045E74"/>
    <w:multiLevelType w:val="hybridMultilevel"/>
    <w:tmpl w:val="8C7AC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24356"/>
    <w:multiLevelType w:val="hybridMultilevel"/>
    <w:tmpl w:val="691A86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402B35"/>
    <w:multiLevelType w:val="hybridMultilevel"/>
    <w:tmpl w:val="83E6A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A5764"/>
    <w:multiLevelType w:val="multilevel"/>
    <w:tmpl w:val="AD7AC3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E1346B"/>
    <w:multiLevelType w:val="hybridMultilevel"/>
    <w:tmpl w:val="45F2BA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97D2C"/>
    <w:multiLevelType w:val="multilevel"/>
    <w:tmpl w:val="A94A0064"/>
    <w:lvl w:ilvl="0">
      <w:start w:val="10"/>
      <w:numFmt w:val="decimal"/>
      <w:lvlText w:val="%1"/>
      <w:lvlJc w:val="left"/>
      <w:pPr>
        <w:ind w:left="468" w:hanging="468"/>
      </w:pPr>
      <w:rPr>
        <w:rFonts w:hint="default"/>
      </w:rPr>
    </w:lvl>
    <w:lvl w:ilvl="1">
      <w:start w:val="1"/>
      <w:numFmt w:val="decimal"/>
      <w:lvlText w:val="%1.%2"/>
      <w:lvlJc w:val="left"/>
      <w:pPr>
        <w:ind w:left="1335" w:hanging="468"/>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16" w15:restartNumberingAfterBreak="0">
    <w:nsid w:val="21E742FD"/>
    <w:multiLevelType w:val="hybridMultilevel"/>
    <w:tmpl w:val="58C4F316"/>
    <w:lvl w:ilvl="0" w:tplc="AE2E8CC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D953F0"/>
    <w:multiLevelType w:val="hybridMultilevel"/>
    <w:tmpl w:val="BF52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BD6CB7"/>
    <w:multiLevelType w:val="hybridMultilevel"/>
    <w:tmpl w:val="027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B733B"/>
    <w:multiLevelType w:val="multilevel"/>
    <w:tmpl w:val="D31C5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B0C1483"/>
    <w:multiLevelType w:val="hybridMultilevel"/>
    <w:tmpl w:val="1154442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5E509E"/>
    <w:multiLevelType w:val="multilevel"/>
    <w:tmpl w:val="26FE6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7C5732"/>
    <w:multiLevelType w:val="hybridMultilevel"/>
    <w:tmpl w:val="DAAC91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36854ED0"/>
    <w:multiLevelType w:val="multilevel"/>
    <w:tmpl w:val="BC86E35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170E1B"/>
    <w:multiLevelType w:val="multilevel"/>
    <w:tmpl w:val="8476229E"/>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D145A70"/>
    <w:multiLevelType w:val="multilevel"/>
    <w:tmpl w:val="6BAAEC42"/>
    <w:lvl w:ilvl="0">
      <w:start w:val="1"/>
      <w:numFmt w:val="decimal"/>
      <w:lvlText w:val="%1."/>
      <w:lvlJc w:val="left"/>
      <w:pPr>
        <w:ind w:left="64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3119"/>
        </w:tabs>
        <w:ind w:left="3119" w:hanging="567"/>
      </w:pPr>
      <w:rPr>
        <w:rFonts w:hint="default"/>
      </w:rPr>
    </w:lvl>
    <w:lvl w:ilvl="2">
      <w:start w:val="1"/>
      <w:numFmt w:val="decimal"/>
      <w:lvlText w:val="%1.%2.%3."/>
      <w:lvlJc w:val="left"/>
      <w:pPr>
        <w:tabs>
          <w:tab w:val="num" w:pos="2556"/>
        </w:tabs>
        <w:ind w:left="2340" w:hanging="504"/>
      </w:pPr>
      <w:rPr>
        <w:rFonts w:hint="default"/>
      </w:rPr>
    </w:lvl>
    <w:lvl w:ilvl="3">
      <w:start w:val="1"/>
      <w:numFmt w:val="decimal"/>
      <w:lvlText w:val="%1.%2.%3.%4."/>
      <w:lvlJc w:val="left"/>
      <w:pPr>
        <w:tabs>
          <w:tab w:val="num" w:pos="3276"/>
        </w:tabs>
        <w:ind w:left="2844" w:hanging="648"/>
      </w:pPr>
      <w:rPr>
        <w:rFonts w:hint="default"/>
      </w:rPr>
    </w:lvl>
    <w:lvl w:ilvl="4">
      <w:start w:val="1"/>
      <w:numFmt w:val="decimal"/>
      <w:lvlText w:val="%1.%2.%3.%4.%5."/>
      <w:lvlJc w:val="left"/>
      <w:pPr>
        <w:tabs>
          <w:tab w:val="num" w:pos="3636"/>
        </w:tabs>
        <w:ind w:left="3348" w:hanging="792"/>
      </w:pPr>
      <w:rPr>
        <w:rFonts w:hint="default"/>
      </w:rPr>
    </w:lvl>
    <w:lvl w:ilvl="5">
      <w:start w:val="1"/>
      <w:numFmt w:val="decimal"/>
      <w:lvlText w:val="%1.%2.%3.%4.%5.%6."/>
      <w:lvlJc w:val="left"/>
      <w:pPr>
        <w:tabs>
          <w:tab w:val="num" w:pos="4356"/>
        </w:tabs>
        <w:ind w:left="3852" w:hanging="936"/>
      </w:pPr>
      <w:rPr>
        <w:rFonts w:hint="default"/>
      </w:rPr>
    </w:lvl>
    <w:lvl w:ilvl="6">
      <w:start w:val="1"/>
      <w:numFmt w:val="decimal"/>
      <w:lvlText w:val="%1.%2.%3.%4.%5.%6.%7."/>
      <w:lvlJc w:val="left"/>
      <w:pPr>
        <w:tabs>
          <w:tab w:val="num" w:pos="4716"/>
        </w:tabs>
        <w:ind w:left="4356" w:hanging="1080"/>
      </w:pPr>
      <w:rPr>
        <w:rFonts w:hint="default"/>
      </w:rPr>
    </w:lvl>
    <w:lvl w:ilvl="7">
      <w:start w:val="1"/>
      <w:numFmt w:val="decimal"/>
      <w:lvlText w:val="%1.%2.%3.%4.%5.%6.%7.%8."/>
      <w:lvlJc w:val="left"/>
      <w:pPr>
        <w:tabs>
          <w:tab w:val="num" w:pos="5436"/>
        </w:tabs>
        <w:ind w:left="4860" w:hanging="1224"/>
      </w:pPr>
      <w:rPr>
        <w:rFonts w:hint="default"/>
      </w:rPr>
    </w:lvl>
    <w:lvl w:ilvl="8">
      <w:start w:val="1"/>
      <w:numFmt w:val="decimal"/>
      <w:lvlText w:val="%1.%2.%3.%4.%5.%6.%7.%8.%9."/>
      <w:lvlJc w:val="left"/>
      <w:pPr>
        <w:tabs>
          <w:tab w:val="num" w:pos="5796"/>
        </w:tabs>
        <w:ind w:left="5436" w:hanging="1440"/>
      </w:pPr>
      <w:rPr>
        <w:rFonts w:hint="default"/>
      </w:rPr>
    </w:lvl>
  </w:abstractNum>
  <w:abstractNum w:abstractNumId="27" w15:restartNumberingAfterBreak="0">
    <w:nsid w:val="3E8A77B4"/>
    <w:multiLevelType w:val="multilevel"/>
    <w:tmpl w:val="F6C0D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4AD55E9"/>
    <w:multiLevelType w:val="multilevel"/>
    <w:tmpl w:val="4B705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CC7BC7"/>
    <w:multiLevelType w:val="multilevel"/>
    <w:tmpl w:val="83AE52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6B445E"/>
    <w:multiLevelType w:val="multilevel"/>
    <w:tmpl w:val="07A83992"/>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D43411"/>
    <w:multiLevelType w:val="hybridMultilevel"/>
    <w:tmpl w:val="67B4E1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1452A6"/>
    <w:multiLevelType w:val="multilevel"/>
    <w:tmpl w:val="0372998C"/>
    <w:lvl w:ilvl="0">
      <w:start w:val="1"/>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33" w15:restartNumberingAfterBreak="0">
    <w:nsid w:val="4B536491"/>
    <w:multiLevelType w:val="multilevel"/>
    <w:tmpl w:val="C41CEF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EDA4F2A"/>
    <w:multiLevelType w:val="hybridMultilevel"/>
    <w:tmpl w:val="90208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B97BC7"/>
    <w:multiLevelType w:val="hybridMultilevel"/>
    <w:tmpl w:val="AFBC3E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67C29"/>
    <w:multiLevelType w:val="hybridMultilevel"/>
    <w:tmpl w:val="F030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CE47B6"/>
    <w:multiLevelType w:val="hybridMultilevel"/>
    <w:tmpl w:val="B6A691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3613F0"/>
    <w:multiLevelType w:val="multilevel"/>
    <w:tmpl w:val="2F90205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9" w15:restartNumberingAfterBreak="0">
    <w:nsid w:val="63A44779"/>
    <w:multiLevelType w:val="hybridMultilevel"/>
    <w:tmpl w:val="FA52BA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B65F71"/>
    <w:multiLevelType w:val="multilevel"/>
    <w:tmpl w:val="81D41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E14B93"/>
    <w:multiLevelType w:val="hybridMultilevel"/>
    <w:tmpl w:val="15A478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D03CFB"/>
    <w:multiLevelType w:val="hybridMultilevel"/>
    <w:tmpl w:val="0D0CCB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2F4CA0"/>
    <w:multiLevelType w:val="hybridMultilevel"/>
    <w:tmpl w:val="A12ED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521761"/>
    <w:multiLevelType w:val="hybridMultilevel"/>
    <w:tmpl w:val="1730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07B40"/>
    <w:multiLevelType w:val="multilevel"/>
    <w:tmpl w:val="591639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8163FD3"/>
    <w:multiLevelType w:val="hybridMultilevel"/>
    <w:tmpl w:val="6B9A7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0F1070"/>
    <w:multiLevelType w:val="hybridMultilevel"/>
    <w:tmpl w:val="EDA2E3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949194482">
    <w:abstractNumId w:val="34"/>
  </w:num>
  <w:num w:numId="2" w16cid:durableId="1136097242">
    <w:abstractNumId w:val="4"/>
  </w:num>
  <w:num w:numId="3" w16cid:durableId="507984161">
    <w:abstractNumId w:val="8"/>
  </w:num>
  <w:num w:numId="4" w16cid:durableId="1796169154">
    <w:abstractNumId w:val="33"/>
  </w:num>
  <w:num w:numId="5" w16cid:durableId="135487532">
    <w:abstractNumId w:val="28"/>
  </w:num>
  <w:num w:numId="6" w16cid:durableId="30884071">
    <w:abstractNumId w:val="1"/>
  </w:num>
  <w:num w:numId="7" w16cid:durableId="757749086">
    <w:abstractNumId w:val="13"/>
  </w:num>
  <w:num w:numId="8" w16cid:durableId="208420889">
    <w:abstractNumId w:val="21"/>
  </w:num>
  <w:num w:numId="9" w16cid:durableId="443429562">
    <w:abstractNumId w:val="10"/>
  </w:num>
  <w:num w:numId="10" w16cid:durableId="1196842982">
    <w:abstractNumId w:val="19"/>
  </w:num>
  <w:num w:numId="11" w16cid:durableId="1875577423">
    <w:abstractNumId w:val="40"/>
  </w:num>
  <w:num w:numId="12" w16cid:durableId="389351010">
    <w:abstractNumId w:val="29"/>
  </w:num>
  <w:num w:numId="13" w16cid:durableId="1305543111">
    <w:abstractNumId w:val="11"/>
  </w:num>
  <w:num w:numId="14" w16cid:durableId="1770154795">
    <w:abstractNumId w:val="26"/>
  </w:num>
  <w:num w:numId="15" w16cid:durableId="1508784602">
    <w:abstractNumId w:val="42"/>
  </w:num>
  <w:num w:numId="16" w16cid:durableId="1209342911">
    <w:abstractNumId w:val="47"/>
  </w:num>
  <w:num w:numId="17" w16cid:durableId="361589876">
    <w:abstractNumId w:val="6"/>
  </w:num>
  <w:num w:numId="18" w16cid:durableId="1529836426">
    <w:abstractNumId w:val="32"/>
  </w:num>
  <w:num w:numId="19" w16cid:durableId="1436898165">
    <w:abstractNumId w:val="7"/>
  </w:num>
  <w:num w:numId="20" w16cid:durableId="1490051148">
    <w:abstractNumId w:val="15"/>
  </w:num>
  <w:num w:numId="21" w16cid:durableId="2003313315">
    <w:abstractNumId w:val="45"/>
  </w:num>
  <w:num w:numId="22" w16cid:durableId="1874924872">
    <w:abstractNumId w:val="38"/>
  </w:num>
  <w:num w:numId="23" w16cid:durableId="778380723">
    <w:abstractNumId w:val="30"/>
  </w:num>
  <w:num w:numId="24" w16cid:durableId="1390883026">
    <w:abstractNumId w:val="16"/>
  </w:num>
  <w:num w:numId="25" w16cid:durableId="1213036442">
    <w:abstractNumId w:val="23"/>
  </w:num>
  <w:num w:numId="26" w16cid:durableId="1797139912">
    <w:abstractNumId w:val="46"/>
  </w:num>
  <w:num w:numId="27" w16cid:durableId="513032802">
    <w:abstractNumId w:val="12"/>
  </w:num>
  <w:num w:numId="28" w16cid:durableId="255022156">
    <w:abstractNumId w:val="20"/>
  </w:num>
  <w:num w:numId="29" w16cid:durableId="92240164">
    <w:abstractNumId w:val="37"/>
  </w:num>
  <w:num w:numId="30" w16cid:durableId="1708944919">
    <w:abstractNumId w:val="22"/>
  </w:num>
  <w:num w:numId="31" w16cid:durableId="414285695">
    <w:abstractNumId w:val="0"/>
  </w:num>
  <w:num w:numId="32" w16cid:durableId="1963683284">
    <w:abstractNumId w:val="39"/>
  </w:num>
  <w:num w:numId="33" w16cid:durableId="642395425">
    <w:abstractNumId w:val="31"/>
  </w:num>
  <w:num w:numId="34" w16cid:durableId="626662352">
    <w:abstractNumId w:val="35"/>
  </w:num>
  <w:num w:numId="35" w16cid:durableId="2120562926">
    <w:abstractNumId w:val="14"/>
  </w:num>
  <w:num w:numId="36" w16cid:durableId="745734575">
    <w:abstractNumId w:val="43"/>
  </w:num>
  <w:num w:numId="37" w16cid:durableId="401413737">
    <w:abstractNumId w:val="41"/>
  </w:num>
  <w:num w:numId="38" w16cid:durableId="392896057">
    <w:abstractNumId w:val="9"/>
  </w:num>
  <w:num w:numId="39" w16cid:durableId="1180198359">
    <w:abstractNumId w:val="5"/>
  </w:num>
  <w:num w:numId="40" w16cid:durableId="2130666474">
    <w:abstractNumId w:val="27"/>
  </w:num>
  <w:num w:numId="41" w16cid:durableId="2142846306">
    <w:abstractNumId w:val="25"/>
  </w:num>
  <w:num w:numId="42" w16cid:durableId="1024163650">
    <w:abstractNumId w:val="24"/>
  </w:num>
  <w:num w:numId="43" w16cid:durableId="4385249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6267603">
    <w:abstractNumId w:val="23"/>
  </w:num>
  <w:num w:numId="45" w16cid:durableId="411853500">
    <w:abstractNumId w:val="2"/>
  </w:num>
  <w:num w:numId="46" w16cid:durableId="1276979133">
    <w:abstractNumId w:val="18"/>
  </w:num>
  <w:num w:numId="47" w16cid:durableId="656421560">
    <w:abstractNumId w:val="3"/>
  </w:num>
  <w:num w:numId="48" w16cid:durableId="1196428846">
    <w:abstractNumId w:val="17"/>
  </w:num>
  <w:num w:numId="49" w16cid:durableId="1240795471">
    <w:abstractNumId w:val="36"/>
  </w:num>
  <w:num w:numId="50" w16cid:durableId="107435453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05AF"/>
    <w:rsid w:val="00011CCE"/>
    <w:rsid w:val="00024729"/>
    <w:rsid w:val="0003105F"/>
    <w:rsid w:val="000416D9"/>
    <w:rsid w:val="00044486"/>
    <w:rsid w:val="000509E1"/>
    <w:rsid w:val="0006647D"/>
    <w:rsid w:val="0007269F"/>
    <w:rsid w:val="00080EC6"/>
    <w:rsid w:val="0008238C"/>
    <w:rsid w:val="0008697E"/>
    <w:rsid w:val="000C6454"/>
    <w:rsid w:val="000D2BDF"/>
    <w:rsid w:val="000E0A92"/>
    <w:rsid w:val="000E5606"/>
    <w:rsid w:val="00101BBD"/>
    <w:rsid w:val="00137154"/>
    <w:rsid w:val="00141560"/>
    <w:rsid w:val="001434BE"/>
    <w:rsid w:val="001842DF"/>
    <w:rsid w:val="0019056A"/>
    <w:rsid w:val="001A02CA"/>
    <w:rsid w:val="001B3EA8"/>
    <w:rsid w:val="001B7F17"/>
    <w:rsid w:val="001D1A33"/>
    <w:rsid w:val="002006AD"/>
    <w:rsid w:val="00201CA3"/>
    <w:rsid w:val="00203EF0"/>
    <w:rsid w:val="002155FA"/>
    <w:rsid w:val="00220BA1"/>
    <w:rsid w:val="0022289C"/>
    <w:rsid w:val="00223DC5"/>
    <w:rsid w:val="002273AF"/>
    <w:rsid w:val="00232B49"/>
    <w:rsid w:val="00233760"/>
    <w:rsid w:val="00233DA9"/>
    <w:rsid w:val="00235257"/>
    <w:rsid w:val="00257083"/>
    <w:rsid w:val="00264C7E"/>
    <w:rsid w:val="00264DEA"/>
    <w:rsid w:val="002751BE"/>
    <w:rsid w:val="002853FD"/>
    <w:rsid w:val="002856D3"/>
    <w:rsid w:val="00286FD8"/>
    <w:rsid w:val="00290332"/>
    <w:rsid w:val="00291B59"/>
    <w:rsid w:val="002922CD"/>
    <w:rsid w:val="00295C03"/>
    <w:rsid w:val="002B327D"/>
    <w:rsid w:val="002C3EA6"/>
    <w:rsid w:val="002E0233"/>
    <w:rsid w:val="002E24B4"/>
    <w:rsid w:val="002E60B3"/>
    <w:rsid w:val="00305BA1"/>
    <w:rsid w:val="0030794E"/>
    <w:rsid w:val="00310092"/>
    <w:rsid w:val="00342AA0"/>
    <w:rsid w:val="00343C44"/>
    <w:rsid w:val="00345845"/>
    <w:rsid w:val="00361A3F"/>
    <w:rsid w:val="00373CC2"/>
    <w:rsid w:val="00374CF1"/>
    <w:rsid w:val="00383A38"/>
    <w:rsid w:val="003D1059"/>
    <w:rsid w:val="003E3C0C"/>
    <w:rsid w:val="003E4B64"/>
    <w:rsid w:val="003F0AB5"/>
    <w:rsid w:val="0040419C"/>
    <w:rsid w:val="00407FFA"/>
    <w:rsid w:val="004365D6"/>
    <w:rsid w:val="00444440"/>
    <w:rsid w:val="0045217F"/>
    <w:rsid w:val="00464679"/>
    <w:rsid w:val="004676A2"/>
    <w:rsid w:val="00476B90"/>
    <w:rsid w:val="0048177D"/>
    <w:rsid w:val="004837F5"/>
    <w:rsid w:val="004839C4"/>
    <w:rsid w:val="004976C2"/>
    <w:rsid w:val="004B30B8"/>
    <w:rsid w:val="004B56B4"/>
    <w:rsid w:val="004D25D5"/>
    <w:rsid w:val="004E2C31"/>
    <w:rsid w:val="004E4779"/>
    <w:rsid w:val="004E6E4D"/>
    <w:rsid w:val="004F4512"/>
    <w:rsid w:val="004F4F0D"/>
    <w:rsid w:val="0050252D"/>
    <w:rsid w:val="00502E62"/>
    <w:rsid w:val="0052216B"/>
    <w:rsid w:val="00522B42"/>
    <w:rsid w:val="005351FA"/>
    <w:rsid w:val="00546198"/>
    <w:rsid w:val="0055327A"/>
    <w:rsid w:val="0056657D"/>
    <w:rsid w:val="00585993"/>
    <w:rsid w:val="00592F3E"/>
    <w:rsid w:val="00596D89"/>
    <w:rsid w:val="005B262D"/>
    <w:rsid w:val="005B2E01"/>
    <w:rsid w:val="005C0A0B"/>
    <w:rsid w:val="005C76F5"/>
    <w:rsid w:val="005D64C9"/>
    <w:rsid w:val="005E2409"/>
    <w:rsid w:val="005E50BB"/>
    <w:rsid w:val="005E5264"/>
    <w:rsid w:val="005E72E4"/>
    <w:rsid w:val="005E7B72"/>
    <w:rsid w:val="005F6914"/>
    <w:rsid w:val="006036BE"/>
    <w:rsid w:val="00615D2B"/>
    <w:rsid w:val="00625E5D"/>
    <w:rsid w:val="0063347C"/>
    <w:rsid w:val="00635894"/>
    <w:rsid w:val="00635BF4"/>
    <w:rsid w:val="00645FC3"/>
    <w:rsid w:val="006507A7"/>
    <w:rsid w:val="00684CF5"/>
    <w:rsid w:val="0069423A"/>
    <w:rsid w:val="006B090C"/>
    <w:rsid w:val="006B5C8A"/>
    <w:rsid w:val="006B76D3"/>
    <w:rsid w:val="006C31F8"/>
    <w:rsid w:val="006E2BFB"/>
    <w:rsid w:val="006E2FBE"/>
    <w:rsid w:val="006E73A7"/>
    <w:rsid w:val="006F0109"/>
    <w:rsid w:val="006F26C9"/>
    <w:rsid w:val="0072088D"/>
    <w:rsid w:val="00721393"/>
    <w:rsid w:val="00723D86"/>
    <w:rsid w:val="00726CB4"/>
    <w:rsid w:val="00733852"/>
    <w:rsid w:val="00751A2C"/>
    <w:rsid w:val="00760355"/>
    <w:rsid w:val="007676D0"/>
    <w:rsid w:val="00776FF6"/>
    <w:rsid w:val="00790710"/>
    <w:rsid w:val="00792F5A"/>
    <w:rsid w:val="00793512"/>
    <w:rsid w:val="00796620"/>
    <w:rsid w:val="00796F5C"/>
    <w:rsid w:val="007A341A"/>
    <w:rsid w:val="007B2172"/>
    <w:rsid w:val="007B2215"/>
    <w:rsid w:val="007B69EB"/>
    <w:rsid w:val="007C3D63"/>
    <w:rsid w:val="007C66C9"/>
    <w:rsid w:val="007D0AF2"/>
    <w:rsid w:val="007F5496"/>
    <w:rsid w:val="00821C6B"/>
    <w:rsid w:val="00823BF9"/>
    <w:rsid w:val="00824956"/>
    <w:rsid w:val="00825873"/>
    <w:rsid w:val="0085498A"/>
    <w:rsid w:val="00856DE7"/>
    <w:rsid w:val="00860E30"/>
    <w:rsid w:val="00871CD2"/>
    <w:rsid w:val="008767FF"/>
    <w:rsid w:val="00877F1C"/>
    <w:rsid w:val="0088006F"/>
    <w:rsid w:val="008A0110"/>
    <w:rsid w:val="008A2A1D"/>
    <w:rsid w:val="008A2EC8"/>
    <w:rsid w:val="008A7360"/>
    <w:rsid w:val="008B31B5"/>
    <w:rsid w:val="008B4EBD"/>
    <w:rsid w:val="008B5390"/>
    <w:rsid w:val="008B60B1"/>
    <w:rsid w:val="008B68DD"/>
    <w:rsid w:val="008D1C8B"/>
    <w:rsid w:val="008D3289"/>
    <w:rsid w:val="008E1AC6"/>
    <w:rsid w:val="008E2774"/>
    <w:rsid w:val="008E6417"/>
    <w:rsid w:val="008F07B6"/>
    <w:rsid w:val="008F1CCC"/>
    <w:rsid w:val="008F5635"/>
    <w:rsid w:val="00900D8D"/>
    <w:rsid w:val="009071FB"/>
    <w:rsid w:val="00916E90"/>
    <w:rsid w:val="00926197"/>
    <w:rsid w:val="00942F86"/>
    <w:rsid w:val="009625A3"/>
    <w:rsid w:val="00962B26"/>
    <w:rsid w:val="009639B7"/>
    <w:rsid w:val="00965BCD"/>
    <w:rsid w:val="0097279E"/>
    <w:rsid w:val="00984CB0"/>
    <w:rsid w:val="009857BF"/>
    <w:rsid w:val="00996D52"/>
    <w:rsid w:val="009B0422"/>
    <w:rsid w:val="009D1B6D"/>
    <w:rsid w:val="009D7435"/>
    <w:rsid w:val="009D7D55"/>
    <w:rsid w:val="009E0580"/>
    <w:rsid w:val="009F4E00"/>
    <w:rsid w:val="00A00AAC"/>
    <w:rsid w:val="00A1722D"/>
    <w:rsid w:val="00A22098"/>
    <w:rsid w:val="00A26A2D"/>
    <w:rsid w:val="00A27C7A"/>
    <w:rsid w:val="00A307FD"/>
    <w:rsid w:val="00A33A94"/>
    <w:rsid w:val="00A3528C"/>
    <w:rsid w:val="00A40293"/>
    <w:rsid w:val="00A50DC5"/>
    <w:rsid w:val="00A639DC"/>
    <w:rsid w:val="00A64DBE"/>
    <w:rsid w:val="00A704EF"/>
    <w:rsid w:val="00AA26D2"/>
    <w:rsid w:val="00AB7437"/>
    <w:rsid w:val="00AE002F"/>
    <w:rsid w:val="00AE0BDD"/>
    <w:rsid w:val="00AE1DE3"/>
    <w:rsid w:val="00B00049"/>
    <w:rsid w:val="00B02EB5"/>
    <w:rsid w:val="00B20763"/>
    <w:rsid w:val="00B207BA"/>
    <w:rsid w:val="00B21954"/>
    <w:rsid w:val="00B30A4D"/>
    <w:rsid w:val="00B6081B"/>
    <w:rsid w:val="00B63745"/>
    <w:rsid w:val="00B850FE"/>
    <w:rsid w:val="00B95F69"/>
    <w:rsid w:val="00BA0AC6"/>
    <w:rsid w:val="00BA281A"/>
    <w:rsid w:val="00BA378C"/>
    <w:rsid w:val="00BB3DDE"/>
    <w:rsid w:val="00BB5D38"/>
    <w:rsid w:val="00BB659A"/>
    <w:rsid w:val="00BC660B"/>
    <w:rsid w:val="00BC788D"/>
    <w:rsid w:val="00BE6B25"/>
    <w:rsid w:val="00BF5D28"/>
    <w:rsid w:val="00C02B51"/>
    <w:rsid w:val="00C06D77"/>
    <w:rsid w:val="00C13586"/>
    <w:rsid w:val="00C13BB1"/>
    <w:rsid w:val="00C40B54"/>
    <w:rsid w:val="00C46BEC"/>
    <w:rsid w:val="00C50AF0"/>
    <w:rsid w:val="00C57E41"/>
    <w:rsid w:val="00C75C93"/>
    <w:rsid w:val="00C8393C"/>
    <w:rsid w:val="00C906A7"/>
    <w:rsid w:val="00C96363"/>
    <w:rsid w:val="00CA42A8"/>
    <w:rsid w:val="00CE1C00"/>
    <w:rsid w:val="00D143CA"/>
    <w:rsid w:val="00D157E9"/>
    <w:rsid w:val="00D311A8"/>
    <w:rsid w:val="00D358C0"/>
    <w:rsid w:val="00D45149"/>
    <w:rsid w:val="00D51304"/>
    <w:rsid w:val="00D57827"/>
    <w:rsid w:val="00D70AFF"/>
    <w:rsid w:val="00D72DAA"/>
    <w:rsid w:val="00D95BA0"/>
    <w:rsid w:val="00DA3FE7"/>
    <w:rsid w:val="00DB335A"/>
    <w:rsid w:val="00DB5054"/>
    <w:rsid w:val="00DD48C5"/>
    <w:rsid w:val="00DD6ABE"/>
    <w:rsid w:val="00DD7C73"/>
    <w:rsid w:val="00DE0B38"/>
    <w:rsid w:val="00DE25E0"/>
    <w:rsid w:val="00DE7F6A"/>
    <w:rsid w:val="00E00BD4"/>
    <w:rsid w:val="00E054BF"/>
    <w:rsid w:val="00E11478"/>
    <w:rsid w:val="00E11978"/>
    <w:rsid w:val="00E20056"/>
    <w:rsid w:val="00E202CA"/>
    <w:rsid w:val="00E20B52"/>
    <w:rsid w:val="00E20B6A"/>
    <w:rsid w:val="00E30C30"/>
    <w:rsid w:val="00E34905"/>
    <w:rsid w:val="00E47784"/>
    <w:rsid w:val="00E64C82"/>
    <w:rsid w:val="00E93BA5"/>
    <w:rsid w:val="00E94756"/>
    <w:rsid w:val="00EA024A"/>
    <w:rsid w:val="00EA0687"/>
    <w:rsid w:val="00EC7E78"/>
    <w:rsid w:val="00ED2363"/>
    <w:rsid w:val="00EF08CB"/>
    <w:rsid w:val="00EF4372"/>
    <w:rsid w:val="00F07200"/>
    <w:rsid w:val="00F13E44"/>
    <w:rsid w:val="00F15068"/>
    <w:rsid w:val="00F20C5D"/>
    <w:rsid w:val="00F21B0A"/>
    <w:rsid w:val="00F32D7C"/>
    <w:rsid w:val="00F41CCD"/>
    <w:rsid w:val="00F5189D"/>
    <w:rsid w:val="00F748D0"/>
    <w:rsid w:val="00F97AD3"/>
    <w:rsid w:val="00FA69A4"/>
    <w:rsid w:val="00FB1956"/>
    <w:rsid w:val="00FB5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A09D41CD-A08A-41B7-A4D6-6FAD2ACD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44"/>
      </w:numPr>
      <w:spacing w:before="360" w:after="120"/>
      <w:outlineLvl w:val="0"/>
    </w:pPr>
    <w:rPr>
      <w:rFonts w:cs="Arial"/>
      <w:b/>
      <w:sz w:val="24"/>
      <w:szCs w:val="22"/>
    </w:rPr>
  </w:style>
  <w:style w:type="paragraph" w:styleId="Heading2">
    <w:name w:val="heading 2"/>
    <w:basedOn w:val="Normal"/>
    <w:next w:val="Normal"/>
    <w:link w:val="Heading2Char"/>
    <w:qFormat/>
    <w:rsid w:val="005C0A0B"/>
    <w:pPr>
      <w:keepNext/>
      <w:numPr>
        <w:ilvl w:val="1"/>
        <w:numId w:val="44"/>
      </w:numPr>
      <w:spacing w:before="240" w:after="120"/>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44"/>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44"/>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4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4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4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character" w:styleId="UnresolvedMention">
    <w:name w:val="Unresolved Mention"/>
    <w:basedOn w:val="DefaultParagraphFont"/>
    <w:uiPriority w:val="99"/>
    <w:semiHidden/>
    <w:unhideWhenUsed/>
    <w:rsid w:val="00233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fundraisingregulator.org.uk/code"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geuk.org.uk/bp-assets/globalassets/sutton/original-blocks/about-us/policies-and-procedures/age-uk-sutton-fundraising-policy.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jgc.je/assets/ADVICE-Conducting-Lotteries-March-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yperlink" Target="https://www.jgc.je/assets/Code-of-Conduct-for-Social-and-Charitable-Gambling-March-2025.pdf"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s://www.gov.je/Working/WorkingForTheStates/PoliciesAndProcedures/PeopleServices/pages/volunteeringpolicy.aspx"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TaxCatchAll xmlns="4e9c1639-3d95-44af-89cd-1beeed578cb7" xsi:nil="true"/>
    <lcf76f155ced4ddcb4097134ff3c332f xmlns="bb47b9b4-3c1d-49f2-936e-a74394817770">
      <Terms xmlns="http://schemas.microsoft.com/office/infopath/2007/PartnerControls"/>
    </lcf76f155ced4ddcb4097134ff3c332f>
    <MovetoMasterfile xmlns="bb47b9b4-3c1d-49f2-936e-a74394817770">false</MovetoMasterfi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980E9-F4A6-4097-932A-C04BCB82EC3A}">
  <ds:schemaRefs>
    <ds:schemaRef ds:uri="http://schemas.microsoft.com/office/2006/metadata/properties"/>
    <ds:schemaRef ds:uri="http://schemas.microsoft.com/office/infopath/2007/PartnerControls"/>
    <ds:schemaRef ds:uri="bb47b9b4-3c1d-49f2-936e-a74394817770"/>
    <ds:schemaRef ds:uri="4e9c1639-3d95-44af-89cd-1beeed578cb7"/>
  </ds:schemaRefs>
</ds:datastoreItem>
</file>

<file path=customXml/itemProps2.xml><?xml version="1.0" encoding="utf-8"?>
<ds:datastoreItem xmlns:ds="http://schemas.openxmlformats.org/officeDocument/2006/customXml" ds:itemID="{D0A2D8AA-9173-41AE-B412-3793429485F6}">
  <ds:schemaRefs>
    <ds:schemaRef ds:uri="http://schemas.openxmlformats.org/officeDocument/2006/bibliography"/>
  </ds:schemaRefs>
</ds:datastoreItem>
</file>

<file path=customXml/itemProps3.xml><?xml version="1.0" encoding="utf-8"?>
<ds:datastoreItem xmlns:ds="http://schemas.openxmlformats.org/officeDocument/2006/customXml" ds:itemID="{58659565-5785-41C7-BE88-069DBB43F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2A4BC-2CCE-4CC4-950C-EDAE2CFE8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Rachel Foster (FNHC)</cp:lastModifiedBy>
  <cp:revision>2</cp:revision>
  <cp:lastPrinted>2020-01-22T11:58:00Z</cp:lastPrinted>
  <dcterms:created xsi:type="dcterms:W3CDTF">2025-08-12T06:32:00Z</dcterms:created>
  <dcterms:modified xsi:type="dcterms:W3CDTF">2025-08-12T06:32:00Z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MediaServiceImageTags">
    <vt:lpwstr/>
  </property>
</Properties>
</file>